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416D5FBB" w:rsidR="00154E94" w:rsidRDefault="005E09BB">
      <w:pPr>
        <w:pStyle w:val="Titolo1"/>
        <w:rPr>
          <w:lang w:val="en-US"/>
        </w:rPr>
      </w:pPr>
      <w:r>
        <w:rPr>
          <w:lang w:val="en-US"/>
        </w:rPr>
        <w:t>New</w:t>
      </w:r>
      <w:r w:rsidR="00821BF0">
        <w:rPr>
          <w:lang w:val="en-US"/>
        </w:rPr>
        <w:t xml:space="preserve"> course</w:t>
      </w:r>
      <w:r w:rsidR="00EA2F9D" w:rsidRPr="00506C44">
        <w:rPr>
          <w:lang w:val="en-US"/>
        </w:rPr>
        <w:t>: “</w:t>
      </w:r>
      <w:r w:rsidR="00BA34A3" w:rsidRPr="00BA34A3">
        <w:rPr>
          <w:rStyle w:val="apple-converted-space"/>
          <w:rFonts w:ascii="Times New Roman" w:hAnsi="Times New Roman" w:cs="Times New Roman"/>
          <w:color w:val="000000"/>
          <w:sz w:val="24"/>
          <w:shd w:val="clear" w:color="auto" w:fill="FFFFFF"/>
          <w:lang w:val="en-US"/>
        </w:rPr>
        <w:t>Cities and Nature-Based Solutions</w:t>
      </w:r>
      <w:r w:rsidR="00EA2F9D" w:rsidRPr="00506C44">
        <w:rPr>
          <w:lang w:val="en-US"/>
        </w:rPr>
        <w:t>”</w:t>
      </w:r>
    </w:p>
    <w:p w14:paraId="0816A9F0" w14:textId="7602BA21" w:rsidR="00367411" w:rsidRPr="00A83ECF" w:rsidRDefault="000E011F" w:rsidP="00A83ECF">
      <w:pPr>
        <w:pStyle w:val="Titolo1"/>
        <w:rPr>
          <w:lang w:val="en-US"/>
        </w:rPr>
      </w:pPr>
      <w:proofErr w:type="spellStart"/>
      <w:r w:rsidRPr="000E011F">
        <w:rPr>
          <w:lang w:val="en-US"/>
        </w:rPr>
        <w:t>Nirma</w:t>
      </w:r>
      <w:proofErr w:type="spellEnd"/>
      <w:r w:rsidRPr="000E011F">
        <w:rPr>
          <w:lang w:val="en-US"/>
        </w:rPr>
        <w:t xml:space="preserve"> University</w:t>
      </w:r>
    </w:p>
    <w:p w14:paraId="776430D9" w14:textId="51F619CC" w:rsidR="00826080" w:rsidRPr="00506C44" w:rsidRDefault="00BA34A3">
      <w:pPr>
        <w:pStyle w:val="Titolo1"/>
        <w:rPr>
          <w:lang w:val="en-US"/>
        </w:rPr>
      </w:pPr>
      <w:r>
        <w:rPr>
          <w:color w:val="000000"/>
          <w:lang w:val="en-US"/>
        </w:rPr>
        <w:t>PHD Program</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B537C7"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26080" w:rsidRPr="00B537C7"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479BBF26" w14:textId="77777777" w:rsidR="00826080" w:rsidRPr="0059224A" w:rsidRDefault="00EA2F9D">
            <w:pPr>
              <w:numPr>
                <w:ilvl w:val="0"/>
                <w:numId w:val="1"/>
              </w:numPr>
              <w:spacing w:after="0"/>
              <w:ind w:hanging="360"/>
              <w:rPr>
                <w:color w:val="auto"/>
              </w:rPr>
            </w:pPr>
            <w:r w:rsidRPr="0059224A">
              <w:rPr>
                <w:i/>
                <w:color w:val="auto"/>
                <w:sz w:val="20"/>
              </w:rPr>
              <w:t xml:space="preserve">Evaluation </w:t>
            </w:r>
          </w:p>
          <w:p w14:paraId="1F04FF43" w14:textId="5174FAF3" w:rsidR="00BA34A3" w:rsidRPr="0059224A" w:rsidRDefault="00971147" w:rsidP="00971147">
            <w:pPr>
              <w:spacing w:after="0"/>
              <w:rPr>
                <w:color w:val="auto"/>
                <w:lang w:val="en-US"/>
              </w:rPr>
            </w:pPr>
            <w:r w:rsidRPr="0059224A">
              <w:rPr>
                <w:color w:val="auto"/>
                <w:lang w:val="en-US"/>
              </w:rPr>
              <w:t xml:space="preserve">The </w:t>
            </w:r>
            <w:r w:rsidR="00BA34A3" w:rsidRPr="0059224A">
              <w:rPr>
                <w:color w:val="auto"/>
                <w:lang w:val="en-US"/>
              </w:rPr>
              <w:t xml:space="preserve">5 units </w:t>
            </w:r>
            <w:r w:rsidRPr="0059224A">
              <w:rPr>
                <w:color w:val="auto"/>
                <w:lang w:val="en-US"/>
              </w:rPr>
              <w:t xml:space="preserve">give the students a </w:t>
            </w:r>
            <w:r w:rsidR="006D67C2">
              <w:rPr>
                <w:color w:val="auto"/>
                <w:lang w:val="en-US"/>
              </w:rPr>
              <w:t>good</w:t>
            </w:r>
            <w:r w:rsidRPr="0059224A">
              <w:rPr>
                <w:color w:val="auto"/>
                <w:lang w:val="en-US"/>
              </w:rPr>
              <w:t xml:space="preserve"> background about the </w:t>
            </w:r>
            <w:r w:rsidR="00BA34A3" w:rsidRPr="0059224A">
              <w:rPr>
                <w:color w:val="auto"/>
                <w:lang w:val="en-US"/>
              </w:rPr>
              <w:t>concept of NBS with specific reference to different type urban context (urban/</w:t>
            </w:r>
            <w:proofErr w:type="spellStart"/>
            <w:r w:rsidR="00BA34A3" w:rsidRPr="0059224A">
              <w:rPr>
                <w:color w:val="auto"/>
                <w:lang w:val="en-US"/>
              </w:rPr>
              <w:t>periurban</w:t>
            </w:r>
            <w:proofErr w:type="spellEnd"/>
            <w:r w:rsidR="00BA34A3" w:rsidRPr="0059224A">
              <w:rPr>
                <w:color w:val="auto"/>
                <w:lang w:val="en-US"/>
              </w:rPr>
              <w:t>) and related data/parameter needed to develop solutions to issues of contemporary cities</w:t>
            </w:r>
          </w:p>
          <w:p w14:paraId="2174E387" w14:textId="77777777" w:rsidR="00BA34A3" w:rsidRPr="0059224A" w:rsidRDefault="00BA34A3" w:rsidP="00971147">
            <w:pPr>
              <w:spacing w:after="0"/>
              <w:rPr>
                <w:color w:val="auto"/>
                <w:lang w:val="en-US"/>
              </w:rPr>
            </w:pPr>
          </w:p>
          <w:p w14:paraId="510F70C3" w14:textId="4D3875E0" w:rsidR="00E852BD" w:rsidRDefault="00E852BD" w:rsidP="00971147">
            <w:pPr>
              <w:spacing w:after="0"/>
              <w:rPr>
                <w:color w:val="auto"/>
                <w:lang w:val="en-US"/>
              </w:rPr>
            </w:pPr>
            <w:r w:rsidRPr="00E852BD">
              <w:rPr>
                <w:color w:val="auto"/>
                <w:lang w:val="en-US"/>
              </w:rPr>
              <w:t>The units contain a balanced numbers of learning objectives and outcomes sustainable for a good level of learning.</w:t>
            </w:r>
          </w:p>
          <w:p w14:paraId="46C6DC60" w14:textId="77777777" w:rsidR="006D67C2" w:rsidRPr="0059224A" w:rsidRDefault="006D67C2" w:rsidP="00971147">
            <w:pPr>
              <w:spacing w:after="0"/>
              <w:jc w:val="both"/>
              <w:rPr>
                <w:color w:val="auto"/>
                <w:sz w:val="20"/>
                <w:lang w:val="en-US"/>
              </w:rPr>
            </w:pPr>
          </w:p>
          <w:p w14:paraId="2591A38E" w14:textId="77777777" w:rsidR="00826080" w:rsidRPr="0059224A" w:rsidRDefault="00EA2F9D">
            <w:pPr>
              <w:numPr>
                <w:ilvl w:val="0"/>
                <w:numId w:val="1"/>
              </w:numPr>
              <w:spacing w:after="0"/>
              <w:ind w:hanging="360"/>
              <w:rPr>
                <w:color w:val="auto"/>
              </w:rPr>
            </w:pPr>
            <w:proofErr w:type="spellStart"/>
            <w:r w:rsidRPr="0059224A">
              <w:rPr>
                <w:i/>
                <w:color w:val="auto"/>
                <w:sz w:val="20"/>
              </w:rPr>
              <w:t>Strategies</w:t>
            </w:r>
            <w:proofErr w:type="spellEnd"/>
            <w:r w:rsidRPr="0059224A">
              <w:rPr>
                <w:i/>
                <w:color w:val="auto"/>
                <w:sz w:val="20"/>
              </w:rPr>
              <w:t xml:space="preserve"> for improvement </w:t>
            </w:r>
          </w:p>
          <w:p w14:paraId="7F06C77E" w14:textId="36FD8905" w:rsidR="00E852BD" w:rsidRDefault="00E852BD" w:rsidP="00E852BD">
            <w:pPr>
              <w:spacing w:after="0"/>
              <w:rPr>
                <w:lang w:val="en-US"/>
              </w:rPr>
            </w:pPr>
          </w:p>
          <w:p w14:paraId="38262A2F" w14:textId="42203AD6" w:rsidR="00773A01" w:rsidRDefault="00E852BD" w:rsidP="00E852BD">
            <w:pPr>
              <w:spacing w:after="0"/>
              <w:rPr>
                <w:lang w:val="en-US"/>
              </w:rPr>
            </w:pPr>
            <w:r w:rsidRPr="00E852BD">
              <w:rPr>
                <w:lang w:val="en-US"/>
              </w:rPr>
              <w:t>Some space should be given to an important category of NBS that are the Sustainable Urban Drainage Systems or Best Management Practice. For example a dedicated Unit can be added to this topic, instead of the generic unit 5 that is a bit generic and can be substituted to more specific NBS-related topic.</w:t>
            </w:r>
          </w:p>
          <w:p w14:paraId="697E0C91" w14:textId="23B4F4F0" w:rsidR="00E852BD" w:rsidRDefault="00E852BD" w:rsidP="00E852BD">
            <w:pPr>
              <w:spacing w:after="0"/>
              <w:rPr>
                <w:lang w:val="en-US"/>
              </w:rPr>
            </w:pPr>
          </w:p>
          <w:p w14:paraId="702561FE" w14:textId="6A6A9890" w:rsidR="00E852BD" w:rsidRDefault="00E852BD" w:rsidP="00E852BD">
            <w:pPr>
              <w:spacing w:after="0"/>
              <w:rPr>
                <w:lang w:val="en-US"/>
              </w:rPr>
            </w:pPr>
            <w:r>
              <w:rPr>
                <w:lang w:val="en-US"/>
              </w:rPr>
              <w:t>One unit of sub-unit can illustrate technical features of NBS (methods for deployment, materials/species, costs) , to give students more practical information about their actual design</w:t>
            </w:r>
            <w:r w:rsidR="007405D8">
              <w:rPr>
                <w:lang w:val="en-US"/>
              </w:rPr>
              <w:t>.</w:t>
            </w:r>
          </w:p>
          <w:p w14:paraId="166BC6AC" w14:textId="3FB17FB6" w:rsidR="007405D8" w:rsidRDefault="007405D8" w:rsidP="00E852BD">
            <w:pPr>
              <w:spacing w:after="0"/>
              <w:rPr>
                <w:lang w:val="en-US"/>
              </w:rPr>
            </w:pPr>
          </w:p>
          <w:p w14:paraId="177D510C" w14:textId="5E060CFA" w:rsidR="007405D8" w:rsidRDefault="007405D8" w:rsidP="00E852BD">
            <w:pPr>
              <w:spacing w:after="0"/>
              <w:rPr>
                <w:lang w:val="en-US"/>
              </w:rPr>
            </w:pPr>
            <w:r>
              <w:rPr>
                <w:lang w:val="en-US"/>
              </w:rPr>
              <w:t xml:space="preserve">Topic of Governance (week 5) can be moved later on in the schedule, it looks a bit to earlier. </w:t>
            </w:r>
          </w:p>
          <w:p w14:paraId="292CCB02" w14:textId="3674CCB1" w:rsidR="007405D8" w:rsidRDefault="007405D8" w:rsidP="00E852BD">
            <w:pPr>
              <w:spacing w:after="0"/>
              <w:rPr>
                <w:lang w:val="en-US"/>
              </w:rPr>
            </w:pPr>
          </w:p>
          <w:p w14:paraId="39DD6849" w14:textId="4A387F15" w:rsidR="007405D8" w:rsidRDefault="007405D8" w:rsidP="00E852BD">
            <w:pPr>
              <w:spacing w:after="0"/>
              <w:rPr>
                <w:lang w:val="en-US"/>
              </w:rPr>
            </w:pPr>
            <w:r>
              <w:rPr>
                <w:lang w:val="en-US"/>
              </w:rPr>
              <w:t>In unit 3, topics in week 7 and week 9 can be merged</w:t>
            </w:r>
          </w:p>
          <w:p w14:paraId="23EEDAC3" w14:textId="126B4441" w:rsidR="00E852BD" w:rsidRPr="0059224A" w:rsidRDefault="00E852BD" w:rsidP="00E852BD">
            <w:pPr>
              <w:spacing w:after="0"/>
              <w:rPr>
                <w:lang w:val="en-US"/>
              </w:rPr>
            </w:pPr>
          </w:p>
        </w:tc>
      </w:tr>
      <w:tr w:rsidR="00826080" w:rsidRPr="00B537C7"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59224A" w:rsidRDefault="00EA2F9D">
            <w:pPr>
              <w:spacing w:after="0"/>
              <w:ind w:left="53"/>
              <w:rPr>
                <w:lang w:val="en-US"/>
              </w:rPr>
            </w:pPr>
            <w:r w:rsidRPr="0059224A">
              <w:rPr>
                <w:color w:val="002060"/>
                <w:sz w:val="20"/>
                <w:lang w:val="en-US"/>
              </w:rPr>
              <w:t xml:space="preserve">Quality criteria 2: Total number of credit units in the course is correct and appropriate </w:t>
            </w:r>
          </w:p>
        </w:tc>
      </w:tr>
      <w:tr w:rsidR="00826080" w:rsidRPr="00B537C7"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087FA4F5" w14:textId="15C8B3D2" w:rsidR="00826080" w:rsidRPr="000E121E" w:rsidRDefault="00EA2F9D">
            <w:pPr>
              <w:numPr>
                <w:ilvl w:val="0"/>
                <w:numId w:val="2"/>
              </w:numPr>
              <w:spacing w:after="0"/>
              <w:ind w:hanging="360"/>
            </w:pPr>
            <w:r w:rsidRPr="000E121E">
              <w:rPr>
                <w:i/>
                <w:sz w:val="20"/>
              </w:rPr>
              <w:t xml:space="preserve">Evaluation </w:t>
            </w:r>
          </w:p>
          <w:p w14:paraId="7791CF35" w14:textId="1A5CD8A6" w:rsidR="00FC0CC1" w:rsidRPr="000E121E" w:rsidRDefault="0042785C" w:rsidP="0059224A">
            <w:pPr>
              <w:spacing w:after="0"/>
              <w:rPr>
                <w:lang w:val="en-US"/>
              </w:rPr>
            </w:pPr>
            <w:r w:rsidRPr="000E121E">
              <w:rPr>
                <w:lang w:val="en-US"/>
              </w:rPr>
              <w:t>The number of ECTS is appropriate (3 ECTS) and correctly designed with 30</w:t>
            </w:r>
            <w:r w:rsidR="00971147" w:rsidRPr="000E121E">
              <w:rPr>
                <w:lang w:val="en-US"/>
              </w:rPr>
              <w:t xml:space="preserve"> hours</w:t>
            </w:r>
            <w:r w:rsidRPr="000E121E">
              <w:rPr>
                <w:lang w:val="en-US"/>
              </w:rPr>
              <w:t xml:space="preserve"> for lectures and 60 hours for</w:t>
            </w:r>
            <w:r w:rsidR="00971147" w:rsidRPr="000E121E">
              <w:rPr>
                <w:lang w:val="en-US"/>
              </w:rPr>
              <w:t xml:space="preserve"> practical exercises and self-study</w:t>
            </w:r>
            <w:r w:rsidRPr="000E121E">
              <w:rPr>
                <w:lang w:val="en-US"/>
              </w:rPr>
              <w:t>.</w:t>
            </w:r>
          </w:p>
        </w:tc>
      </w:tr>
      <w:tr w:rsidR="00826080" w:rsidRPr="00B537C7"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0E121E" w:rsidRDefault="00EA2F9D">
            <w:pPr>
              <w:spacing w:after="0"/>
              <w:ind w:left="53"/>
              <w:rPr>
                <w:lang w:val="en-US"/>
              </w:rPr>
            </w:pPr>
            <w:r w:rsidRPr="000E121E">
              <w:rPr>
                <w:color w:val="002060"/>
                <w:sz w:val="20"/>
                <w:lang w:val="en-US"/>
              </w:rPr>
              <w:t xml:space="preserve">Quality criteria 3: Positioning of the courses in Curricula is appropriate based on the progressive level of difficulty </w:t>
            </w:r>
          </w:p>
        </w:tc>
      </w:tr>
      <w:tr w:rsidR="00F1565E" w:rsidRPr="00B537C7"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0E121E" w:rsidRDefault="00EA2F9D">
            <w:pPr>
              <w:numPr>
                <w:ilvl w:val="0"/>
                <w:numId w:val="3"/>
              </w:numPr>
              <w:spacing w:after="0"/>
              <w:ind w:hanging="360"/>
              <w:rPr>
                <w:color w:val="auto"/>
              </w:rPr>
            </w:pPr>
            <w:r w:rsidRPr="000E121E">
              <w:rPr>
                <w:i/>
                <w:color w:val="auto"/>
                <w:sz w:val="20"/>
              </w:rPr>
              <w:lastRenderedPageBreak/>
              <w:t xml:space="preserve">Evaluation </w:t>
            </w:r>
          </w:p>
          <w:p w14:paraId="190310A4" w14:textId="7D0D1A75" w:rsidR="0059224A" w:rsidRPr="000E121E" w:rsidRDefault="00EA2F9D">
            <w:pPr>
              <w:spacing w:after="43"/>
              <w:ind w:right="45"/>
              <w:jc w:val="both"/>
              <w:rPr>
                <w:iCs/>
                <w:color w:val="auto"/>
                <w:lang w:val="en-US"/>
              </w:rPr>
            </w:pPr>
            <w:r w:rsidRPr="000E121E">
              <w:rPr>
                <w:iCs/>
                <w:color w:val="auto"/>
                <w:lang w:val="en-US"/>
              </w:rPr>
              <w:t>Th</w:t>
            </w:r>
            <w:r w:rsidR="008A0253" w:rsidRPr="000E121E">
              <w:rPr>
                <w:iCs/>
                <w:color w:val="auto"/>
                <w:lang w:val="en-US"/>
              </w:rPr>
              <w:t xml:space="preserve">e </w:t>
            </w:r>
            <w:r w:rsidR="006D5716" w:rsidRPr="000E121E">
              <w:rPr>
                <w:iCs/>
                <w:color w:val="auto"/>
                <w:lang w:val="en-US"/>
              </w:rPr>
              <w:t xml:space="preserve">new </w:t>
            </w:r>
            <w:r w:rsidR="008A0253" w:rsidRPr="000E121E">
              <w:rPr>
                <w:iCs/>
                <w:color w:val="auto"/>
                <w:lang w:val="en-US"/>
              </w:rPr>
              <w:t xml:space="preserve">course </w:t>
            </w:r>
            <w:r w:rsidR="0059224A" w:rsidRPr="000E121E">
              <w:rPr>
                <w:iCs/>
                <w:color w:val="auto"/>
                <w:lang w:val="en-US"/>
              </w:rPr>
              <w:t>belongs to the PHD program in</w:t>
            </w:r>
            <w:r w:rsidR="00DE6FCE" w:rsidRPr="000E121E">
              <w:rPr>
                <w:iCs/>
                <w:color w:val="auto"/>
                <w:lang w:val="en-US"/>
              </w:rPr>
              <w:t xml:space="preserve"> Architecture</w:t>
            </w:r>
            <w:r w:rsidR="006D5716" w:rsidRPr="000E121E">
              <w:rPr>
                <w:iCs/>
                <w:color w:val="auto"/>
                <w:lang w:val="en-US"/>
              </w:rPr>
              <w:t xml:space="preserve"> and designed for </w:t>
            </w:r>
            <w:proofErr w:type="spellStart"/>
            <w:r w:rsidR="000E121E" w:rsidRPr="000E121E">
              <w:rPr>
                <w:iCs/>
                <w:color w:val="auto"/>
                <w:lang w:val="en-US"/>
              </w:rPr>
              <w:t>undergraduated</w:t>
            </w:r>
            <w:proofErr w:type="spellEnd"/>
            <w:r w:rsidR="000E121E" w:rsidRPr="000E121E">
              <w:rPr>
                <w:iCs/>
                <w:color w:val="auto"/>
                <w:lang w:val="en-US"/>
              </w:rPr>
              <w:t xml:space="preserve"> </w:t>
            </w:r>
            <w:r w:rsidR="0059224A" w:rsidRPr="000E121E">
              <w:rPr>
                <w:iCs/>
                <w:color w:val="auto"/>
                <w:lang w:val="en-US"/>
              </w:rPr>
              <w:t>and master graduates</w:t>
            </w:r>
          </w:p>
          <w:p w14:paraId="1F3170B1" w14:textId="14ED8C68" w:rsidR="00826080" w:rsidRPr="000E121E" w:rsidRDefault="0059224A">
            <w:pPr>
              <w:spacing w:after="43"/>
              <w:ind w:right="45"/>
              <w:jc w:val="both"/>
              <w:rPr>
                <w:iCs/>
                <w:color w:val="auto"/>
                <w:lang w:val="en-US"/>
              </w:rPr>
            </w:pPr>
            <w:r w:rsidRPr="000E121E">
              <w:rPr>
                <w:iCs/>
                <w:color w:val="auto"/>
                <w:lang w:val="en-US"/>
              </w:rPr>
              <w:t xml:space="preserve">The </w:t>
            </w:r>
            <w:r w:rsidR="006D5716" w:rsidRPr="000E121E">
              <w:rPr>
                <w:iCs/>
                <w:color w:val="auto"/>
                <w:lang w:val="en-US"/>
              </w:rPr>
              <w:t>positioning is coherent with the level of difficulty</w:t>
            </w:r>
            <w:r w:rsidR="000E121E" w:rsidRPr="000E121E">
              <w:rPr>
                <w:iCs/>
                <w:color w:val="auto"/>
                <w:lang w:val="en-US"/>
              </w:rPr>
              <w:t>.</w:t>
            </w:r>
          </w:p>
          <w:p w14:paraId="1FAFBA96" w14:textId="77777777" w:rsidR="00C4055A" w:rsidRPr="000E121E" w:rsidRDefault="00C4055A" w:rsidP="00C4055A">
            <w:pPr>
              <w:spacing w:after="0"/>
              <w:ind w:left="360"/>
              <w:rPr>
                <w:color w:val="auto"/>
                <w:lang w:val="en-US"/>
              </w:rPr>
            </w:pPr>
          </w:p>
          <w:p w14:paraId="46BD0A98" w14:textId="6EDFEDB9" w:rsidR="00826080" w:rsidRPr="000E121E" w:rsidRDefault="00EA2F9D">
            <w:pPr>
              <w:numPr>
                <w:ilvl w:val="0"/>
                <w:numId w:val="3"/>
              </w:numPr>
              <w:spacing w:after="0"/>
              <w:ind w:hanging="360"/>
              <w:rPr>
                <w:color w:val="auto"/>
              </w:rPr>
            </w:pPr>
            <w:proofErr w:type="spellStart"/>
            <w:r w:rsidRPr="000E121E">
              <w:rPr>
                <w:i/>
                <w:color w:val="auto"/>
                <w:sz w:val="20"/>
              </w:rPr>
              <w:t>Strategies</w:t>
            </w:r>
            <w:proofErr w:type="spellEnd"/>
            <w:r w:rsidRPr="000E121E">
              <w:rPr>
                <w:i/>
                <w:color w:val="auto"/>
                <w:sz w:val="20"/>
              </w:rPr>
              <w:t xml:space="preserve"> for improvement </w:t>
            </w:r>
          </w:p>
          <w:p w14:paraId="5D4C5052" w14:textId="716042BF" w:rsidR="00826080" w:rsidRPr="000E121E" w:rsidRDefault="000E121E">
            <w:pPr>
              <w:spacing w:after="0"/>
              <w:ind w:left="53" w:right="50"/>
              <w:jc w:val="both"/>
              <w:rPr>
                <w:color w:val="FF0000"/>
                <w:lang w:val="en-US"/>
              </w:rPr>
            </w:pPr>
            <w:r w:rsidRPr="000E121E">
              <w:rPr>
                <w:color w:val="auto"/>
                <w:lang w:val="en-US"/>
              </w:rPr>
              <w:t>Check if the stated Prerequisites (</w:t>
            </w:r>
            <w:proofErr w:type="spellStart"/>
            <w:r w:rsidRPr="000E121E">
              <w:rPr>
                <w:color w:val="auto"/>
                <w:lang w:val="en-US"/>
              </w:rPr>
              <w:t>undergraduated</w:t>
            </w:r>
            <w:proofErr w:type="spellEnd"/>
            <w:r w:rsidRPr="000E121E">
              <w:rPr>
                <w:color w:val="auto"/>
                <w:lang w:val="en-US"/>
              </w:rPr>
              <w:t xml:space="preserve"> students) are correct</w:t>
            </w:r>
          </w:p>
        </w:tc>
      </w:tr>
      <w:tr w:rsidR="00F1565E" w:rsidRPr="00B537C7"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7405D8" w:rsidRDefault="00A05ACD" w:rsidP="00A05ACD">
            <w:pPr>
              <w:spacing w:after="0"/>
              <w:ind w:left="53"/>
              <w:rPr>
                <w:i/>
                <w:color w:val="auto"/>
                <w:sz w:val="20"/>
                <w:lang w:val="en-US"/>
              </w:rPr>
            </w:pPr>
            <w:r w:rsidRPr="007405D8">
              <w:rPr>
                <w:color w:val="auto"/>
                <w:sz w:val="20"/>
                <w:lang w:val="en-US"/>
              </w:rPr>
              <w:t>Quality criteria 4: Tests are suitable and appropriate to support transferable skills</w:t>
            </w:r>
          </w:p>
        </w:tc>
      </w:tr>
      <w:tr w:rsidR="00F1565E" w:rsidRPr="00B537C7"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7405D8" w:rsidRDefault="00A05ACD" w:rsidP="00A05ACD">
            <w:pPr>
              <w:numPr>
                <w:ilvl w:val="0"/>
                <w:numId w:val="3"/>
              </w:numPr>
              <w:spacing w:after="0"/>
              <w:ind w:hanging="360"/>
              <w:rPr>
                <w:color w:val="auto"/>
              </w:rPr>
            </w:pPr>
            <w:r w:rsidRPr="007405D8">
              <w:rPr>
                <w:i/>
                <w:color w:val="auto"/>
                <w:sz w:val="20"/>
              </w:rPr>
              <w:t xml:space="preserve">Evaluation </w:t>
            </w:r>
          </w:p>
          <w:p w14:paraId="3D6B5E9E" w14:textId="77777777" w:rsidR="00B537C7" w:rsidRPr="007405D8" w:rsidRDefault="006D5716" w:rsidP="00A05ACD">
            <w:pPr>
              <w:spacing w:after="43"/>
              <w:ind w:right="45"/>
              <w:jc w:val="both"/>
              <w:rPr>
                <w:color w:val="auto"/>
                <w:lang w:val="en-US"/>
              </w:rPr>
            </w:pPr>
            <w:r w:rsidRPr="007405D8">
              <w:rPr>
                <w:color w:val="auto"/>
                <w:lang w:val="en-US"/>
              </w:rPr>
              <w:t>Progress and final assessments are</w:t>
            </w:r>
            <w:r w:rsidR="00B537C7" w:rsidRPr="007405D8">
              <w:rPr>
                <w:color w:val="auto"/>
                <w:lang w:val="en-US"/>
              </w:rPr>
              <w:t xml:space="preserve"> not</w:t>
            </w:r>
            <w:r w:rsidRPr="007405D8">
              <w:rPr>
                <w:color w:val="auto"/>
                <w:lang w:val="en-US"/>
              </w:rPr>
              <w:t xml:space="preserve"> </w:t>
            </w:r>
            <w:r w:rsidR="00B537C7" w:rsidRPr="007405D8">
              <w:rPr>
                <w:color w:val="auto"/>
                <w:lang w:val="en-US"/>
              </w:rPr>
              <w:t>specified</w:t>
            </w:r>
          </w:p>
          <w:p w14:paraId="28EC46AF" w14:textId="77777777" w:rsidR="0043613F" w:rsidRPr="007405D8" w:rsidRDefault="0043613F" w:rsidP="00A05ACD">
            <w:pPr>
              <w:spacing w:after="43"/>
              <w:ind w:right="45"/>
              <w:jc w:val="both"/>
              <w:rPr>
                <w:color w:val="auto"/>
                <w:lang w:val="en-US"/>
              </w:rPr>
            </w:pPr>
          </w:p>
          <w:p w14:paraId="11E9C54E" w14:textId="02123A9B" w:rsidR="00A05ACD" w:rsidRPr="007405D8" w:rsidRDefault="00A05ACD" w:rsidP="00A05ACD">
            <w:pPr>
              <w:numPr>
                <w:ilvl w:val="0"/>
                <w:numId w:val="3"/>
              </w:numPr>
              <w:spacing w:after="0"/>
              <w:ind w:hanging="360"/>
              <w:rPr>
                <w:color w:val="auto"/>
                <w:lang w:val="en-US"/>
              </w:rPr>
            </w:pPr>
            <w:r w:rsidRPr="007405D8">
              <w:rPr>
                <w:i/>
                <w:color w:val="auto"/>
                <w:sz w:val="20"/>
                <w:lang w:val="en-US"/>
              </w:rPr>
              <w:t xml:space="preserve">Strategies for improvement </w:t>
            </w:r>
          </w:p>
          <w:p w14:paraId="105EF6B9" w14:textId="23E49222" w:rsidR="00B537C7" w:rsidRPr="007405D8" w:rsidRDefault="00B537C7" w:rsidP="00B537C7">
            <w:pPr>
              <w:spacing w:after="0"/>
              <w:rPr>
                <w:color w:val="auto"/>
                <w:lang w:val="en-US"/>
              </w:rPr>
            </w:pPr>
            <w:r w:rsidRPr="007405D8">
              <w:rPr>
                <w:color w:val="auto"/>
                <w:lang w:val="en-US"/>
              </w:rPr>
              <w:t>Details should be added on how the assessments will be done and which assessment criteria will be used</w:t>
            </w:r>
          </w:p>
          <w:p w14:paraId="049C35FA" w14:textId="12C6D827" w:rsidR="00621F34" w:rsidRPr="007405D8" w:rsidRDefault="00621F34" w:rsidP="00A05ACD">
            <w:pPr>
              <w:spacing w:after="43"/>
              <w:ind w:right="45"/>
              <w:jc w:val="both"/>
              <w:rPr>
                <w:color w:val="FF0000"/>
                <w:lang w:val="en-US"/>
              </w:rPr>
            </w:pPr>
          </w:p>
        </w:tc>
      </w:tr>
    </w:tbl>
    <w:p w14:paraId="34A60577" w14:textId="77777777" w:rsidR="007A4578" w:rsidRPr="00BA34A3" w:rsidRDefault="00EA2F9D">
      <w:pPr>
        <w:spacing w:after="0"/>
        <w:rPr>
          <w:color w:val="auto"/>
          <w:highlight w:val="yellow"/>
          <w:lang w:val="en-US"/>
        </w:rPr>
      </w:pPr>
      <w:r w:rsidRPr="00BA34A3">
        <w:rPr>
          <w:color w:val="FF0000"/>
          <w:sz w:val="20"/>
          <w:highlight w:val="yellow"/>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B537C7"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1B3A20" w:rsidRDefault="007A4578" w:rsidP="007A4578">
            <w:pPr>
              <w:spacing w:after="0"/>
              <w:rPr>
                <w:color w:val="FF0000"/>
                <w:sz w:val="20"/>
                <w:lang w:val="en-US"/>
              </w:rPr>
            </w:pPr>
            <w:r w:rsidRPr="001B3A20">
              <w:rPr>
                <w:color w:val="auto"/>
                <w:sz w:val="20"/>
                <w:lang w:val="en-US"/>
              </w:rPr>
              <w:t>Quality criteria 5: TLM and assessment strategy support students in undertaking the course i.e. prerequisites are</w:t>
            </w:r>
            <w:r w:rsidR="000507DB" w:rsidRPr="001B3A20">
              <w:rPr>
                <w:color w:val="auto"/>
                <w:sz w:val="20"/>
                <w:lang w:val="en-US"/>
              </w:rPr>
              <w:t xml:space="preserve"> </w:t>
            </w:r>
            <w:r w:rsidRPr="001B3A20">
              <w:rPr>
                <w:color w:val="auto"/>
                <w:sz w:val="20"/>
                <w:lang w:val="en-US"/>
              </w:rPr>
              <w:t>helpful and relevant, assessments help gauge students understanding</w:t>
            </w:r>
          </w:p>
        </w:tc>
      </w:tr>
      <w:tr w:rsidR="00F1565E" w:rsidRPr="00B537C7"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1B3A20" w:rsidRDefault="007A4578" w:rsidP="007A4578">
            <w:pPr>
              <w:numPr>
                <w:ilvl w:val="0"/>
                <w:numId w:val="3"/>
              </w:numPr>
              <w:spacing w:after="0"/>
              <w:ind w:hanging="360"/>
              <w:rPr>
                <w:i/>
                <w:color w:val="auto"/>
                <w:sz w:val="20"/>
              </w:rPr>
            </w:pPr>
            <w:r w:rsidRPr="001B3A20">
              <w:rPr>
                <w:i/>
                <w:color w:val="auto"/>
                <w:sz w:val="20"/>
              </w:rPr>
              <w:t>Evaluation</w:t>
            </w:r>
          </w:p>
          <w:p w14:paraId="643AC96E" w14:textId="4A8D90FF" w:rsidR="007321D4" w:rsidRPr="001B3A20" w:rsidRDefault="00661704" w:rsidP="007A4578">
            <w:pPr>
              <w:spacing w:after="43"/>
              <w:ind w:right="45"/>
              <w:jc w:val="both"/>
              <w:rPr>
                <w:color w:val="auto"/>
                <w:lang w:val="en-US"/>
              </w:rPr>
            </w:pPr>
            <w:r w:rsidRPr="001B3A20">
              <w:rPr>
                <w:color w:val="auto"/>
                <w:lang w:val="en-US"/>
              </w:rPr>
              <w:t xml:space="preserve">Teaching </w:t>
            </w:r>
            <w:r w:rsidR="007321D4" w:rsidRPr="001B3A20">
              <w:rPr>
                <w:color w:val="auto"/>
                <w:lang w:val="en-US"/>
              </w:rPr>
              <w:t>methods are not detailed.</w:t>
            </w:r>
          </w:p>
          <w:p w14:paraId="6D7FD87D" w14:textId="51563196" w:rsidR="00A64A29" w:rsidRPr="001B3A20" w:rsidRDefault="007321D4" w:rsidP="007A4578">
            <w:pPr>
              <w:spacing w:after="43"/>
              <w:ind w:right="45"/>
              <w:jc w:val="both"/>
              <w:rPr>
                <w:color w:val="auto"/>
                <w:lang w:val="en-US"/>
              </w:rPr>
            </w:pPr>
            <w:r w:rsidRPr="001B3A20">
              <w:rPr>
                <w:color w:val="auto"/>
                <w:lang w:val="en-US"/>
              </w:rPr>
              <w:t>L</w:t>
            </w:r>
            <w:r w:rsidR="00154C33" w:rsidRPr="001B3A20">
              <w:rPr>
                <w:color w:val="auto"/>
                <w:lang w:val="en-US"/>
              </w:rPr>
              <w:t xml:space="preserve">earning methods are </w:t>
            </w:r>
            <w:r w:rsidRPr="001B3A20">
              <w:rPr>
                <w:color w:val="auto"/>
                <w:lang w:val="en-US"/>
              </w:rPr>
              <w:t>various</w:t>
            </w:r>
            <w:r w:rsidR="0019762D" w:rsidRPr="001B3A20">
              <w:rPr>
                <w:color w:val="auto"/>
                <w:lang w:val="en-US"/>
              </w:rPr>
              <w:t xml:space="preserve">, </w:t>
            </w:r>
            <w:r w:rsidRPr="001B3A20">
              <w:rPr>
                <w:color w:val="auto"/>
                <w:lang w:val="en-US"/>
              </w:rPr>
              <w:t>though the majority of the course content would need a traditional approach of classroom-</w:t>
            </w:r>
            <w:r w:rsidR="0019762D" w:rsidRPr="001B3A20">
              <w:rPr>
                <w:color w:val="auto"/>
                <w:lang w:val="en-US"/>
              </w:rPr>
              <w:t xml:space="preserve">taught </w:t>
            </w:r>
            <w:r w:rsidRPr="001B3A20">
              <w:rPr>
                <w:color w:val="auto"/>
                <w:lang w:val="en-US"/>
              </w:rPr>
              <w:t>lectures, with a resulting less interactive learning process.</w:t>
            </w:r>
          </w:p>
          <w:p w14:paraId="65A3D9B3" w14:textId="77777777" w:rsidR="0059224A" w:rsidRPr="001B3A20" w:rsidRDefault="0059224A" w:rsidP="007A4578">
            <w:pPr>
              <w:spacing w:after="43"/>
              <w:ind w:right="45"/>
              <w:jc w:val="both"/>
              <w:rPr>
                <w:color w:val="auto"/>
                <w:lang w:val="en-US"/>
              </w:rPr>
            </w:pPr>
          </w:p>
          <w:p w14:paraId="5C49CBA2" w14:textId="0EE5C553" w:rsidR="007A4578" w:rsidRPr="001B3A20" w:rsidRDefault="007A4578" w:rsidP="00D06B5C">
            <w:pPr>
              <w:numPr>
                <w:ilvl w:val="0"/>
                <w:numId w:val="3"/>
              </w:numPr>
              <w:spacing w:after="0"/>
              <w:ind w:hanging="360"/>
              <w:rPr>
                <w:i/>
                <w:color w:val="auto"/>
                <w:sz w:val="20"/>
              </w:rPr>
            </w:pPr>
            <w:proofErr w:type="spellStart"/>
            <w:r w:rsidRPr="001B3A20">
              <w:rPr>
                <w:i/>
                <w:color w:val="auto"/>
                <w:sz w:val="20"/>
              </w:rPr>
              <w:t>Strategies</w:t>
            </w:r>
            <w:proofErr w:type="spellEnd"/>
            <w:r w:rsidRPr="001B3A20">
              <w:rPr>
                <w:i/>
                <w:color w:val="auto"/>
                <w:sz w:val="20"/>
              </w:rPr>
              <w:t xml:space="preserve"> for improvement</w:t>
            </w:r>
          </w:p>
          <w:p w14:paraId="14D55D57" w14:textId="5B308692" w:rsidR="00B74574" w:rsidRDefault="007321D4" w:rsidP="007321D4">
            <w:pPr>
              <w:spacing w:after="43"/>
              <w:ind w:right="45"/>
              <w:jc w:val="both"/>
              <w:rPr>
                <w:color w:val="auto"/>
                <w:lang w:val="en-US"/>
              </w:rPr>
            </w:pPr>
            <w:r w:rsidRPr="001B3A20">
              <w:rPr>
                <w:color w:val="auto"/>
                <w:lang w:val="en-US"/>
              </w:rPr>
              <w:t xml:space="preserve">The syllabus could better highlight the teaching methods used with regard to the different </w:t>
            </w:r>
            <w:r w:rsidR="001B3A20" w:rsidRPr="001B3A20">
              <w:rPr>
                <w:color w:val="auto"/>
                <w:lang w:val="en-US"/>
              </w:rPr>
              <w:t>units</w:t>
            </w:r>
            <w:r w:rsidR="008A3A25" w:rsidRPr="001B3A20">
              <w:rPr>
                <w:color w:val="auto"/>
                <w:lang w:val="en-US"/>
              </w:rPr>
              <w:t xml:space="preserve"> </w:t>
            </w:r>
            <w:r w:rsidRPr="001B3A20">
              <w:rPr>
                <w:color w:val="auto"/>
                <w:lang w:val="en-US"/>
              </w:rPr>
              <w:t>of the course</w:t>
            </w:r>
            <w:r w:rsidR="00075644" w:rsidRPr="001B3A20">
              <w:rPr>
                <w:color w:val="auto"/>
                <w:lang w:val="en-US"/>
              </w:rPr>
              <w:t>.</w:t>
            </w:r>
          </w:p>
          <w:p w14:paraId="6FA78234" w14:textId="083AE5B4" w:rsidR="007405D8" w:rsidRDefault="007405D8" w:rsidP="007321D4">
            <w:pPr>
              <w:spacing w:after="43"/>
              <w:ind w:right="45"/>
              <w:jc w:val="both"/>
              <w:rPr>
                <w:color w:val="auto"/>
                <w:lang w:val="en-US"/>
              </w:rPr>
            </w:pPr>
          </w:p>
          <w:p w14:paraId="568AD194" w14:textId="6F10C0D3" w:rsidR="007405D8" w:rsidRDefault="007405D8" w:rsidP="007321D4">
            <w:pPr>
              <w:spacing w:after="43"/>
              <w:ind w:right="45"/>
              <w:jc w:val="both"/>
              <w:rPr>
                <w:color w:val="auto"/>
                <w:lang w:val="en-US"/>
              </w:rPr>
            </w:pPr>
            <w:r>
              <w:rPr>
                <w:color w:val="auto"/>
                <w:lang w:val="en-US"/>
              </w:rPr>
              <w:t>Relevant reading from EU perspective:</w:t>
            </w:r>
          </w:p>
          <w:p w14:paraId="78EF98E0" w14:textId="53103868" w:rsidR="007405D8" w:rsidRPr="001B3A20" w:rsidRDefault="007405D8" w:rsidP="007321D4">
            <w:pPr>
              <w:spacing w:after="43"/>
              <w:ind w:right="45"/>
              <w:jc w:val="both"/>
              <w:rPr>
                <w:color w:val="auto"/>
                <w:lang w:val="en-US"/>
              </w:rPr>
            </w:pPr>
            <w:r w:rsidRPr="007405D8">
              <w:rPr>
                <w:color w:val="auto"/>
                <w:lang w:val="en-US"/>
              </w:rPr>
              <w:t xml:space="preserve">L. Wendling, J. Garcia, D. </w:t>
            </w:r>
            <w:proofErr w:type="spellStart"/>
            <w:r w:rsidRPr="007405D8">
              <w:rPr>
                <w:color w:val="auto"/>
                <w:lang w:val="en-US"/>
              </w:rPr>
              <w:t>Descoteaux</w:t>
            </w:r>
            <w:proofErr w:type="spellEnd"/>
            <w:r w:rsidRPr="007405D8">
              <w:rPr>
                <w:color w:val="auto"/>
                <w:lang w:val="en-US"/>
              </w:rPr>
              <w:t xml:space="preserve">, B. </w:t>
            </w:r>
            <w:proofErr w:type="spellStart"/>
            <w:r w:rsidRPr="007405D8">
              <w:rPr>
                <w:color w:val="auto"/>
                <w:lang w:val="en-US"/>
              </w:rPr>
              <w:t>Sowińska-Świerkosz</w:t>
            </w:r>
            <w:proofErr w:type="spellEnd"/>
            <w:r w:rsidRPr="007405D8">
              <w:rPr>
                <w:color w:val="auto"/>
                <w:lang w:val="en-US"/>
              </w:rPr>
              <w:t xml:space="preserve">, T. </w:t>
            </w:r>
            <w:proofErr w:type="spellStart"/>
            <w:r w:rsidRPr="007405D8">
              <w:rPr>
                <w:color w:val="auto"/>
                <w:lang w:val="en-US"/>
              </w:rPr>
              <w:t>McPhearson</w:t>
            </w:r>
            <w:proofErr w:type="spellEnd"/>
            <w:r w:rsidRPr="007405D8">
              <w:rPr>
                <w:color w:val="auto"/>
                <w:lang w:val="en-US"/>
              </w:rPr>
              <w:t xml:space="preserve">, N. </w:t>
            </w:r>
            <w:proofErr w:type="spellStart"/>
            <w:r w:rsidRPr="007405D8">
              <w:rPr>
                <w:color w:val="auto"/>
                <w:lang w:val="en-US"/>
              </w:rPr>
              <w:t>Frantzeskaki</w:t>
            </w:r>
            <w:proofErr w:type="spellEnd"/>
            <w:r w:rsidRPr="007405D8">
              <w:rPr>
                <w:color w:val="auto"/>
                <w:lang w:val="en-US"/>
              </w:rPr>
              <w:t xml:space="preserve">, D. La Rosa, Z. </w:t>
            </w:r>
            <w:proofErr w:type="spellStart"/>
            <w:r w:rsidRPr="007405D8">
              <w:rPr>
                <w:color w:val="auto"/>
                <w:lang w:val="en-US"/>
              </w:rPr>
              <w:t>Yiwen</w:t>
            </w:r>
            <w:proofErr w:type="spellEnd"/>
            <w:r w:rsidRPr="007405D8">
              <w:rPr>
                <w:color w:val="auto"/>
                <w:lang w:val="en-US"/>
              </w:rPr>
              <w:t xml:space="preserve">, T. Lin, T. </w:t>
            </w:r>
            <w:proofErr w:type="spellStart"/>
            <w:r w:rsidRPr="007405D8">
              <w:rPr>
                <w:color w:val="auto"/>
                <w:lang w:val="en-US"/>
              </w:rPr>
              <w:t>Fidélis</w:t>
            </w:r>
            <w:proofErr w:type="spellEnd"/>
            <w:r w:rsidRPr="007405D8">
              <w:rPr>
                <w:color w:val="auto"/>
                <w:lang w:val="en-US"/>
              </w:rPr>
              <w:t xml:space="preserve">, A. Dumitru, W.J. </w:t>
            </w:r>
            <w:proofErr w:type="spellStart"/>
            <w:r w:rsidRPr="007405D8">
              <w:rPr>
                <w:color w:val="auto"/>
                <w:lang w:val="en-US"/>
              </w:rPr>
              <w:t>Mitsch</w:t>
            </w:r>
            <w:proofErr w:type="spellEnd"/>
            <w:r w:rsidRPr="007405D8">
              <w:rPr>
                <w:color w:val="auto"/>
                <w:lang w:val="en-US"/>
              </w:rPr>
              <w:t xml:space="preserve">, S. </w:t>
            </w:r>
            <w:proofErr w:type="spellStart"/>
            <w:r w:rsidRPr="007405D8">
              <w:rPr>
                <w:color w:val="auto"/>
                <w:lang w:val="en-US"/>
              </w:rPr>
              <w:t>Lavrnić</w:t>
            </w:r>
            <w:proofErr w:type="spellEnd"/>
            <w:r w:rsidRPr="007405D8">
              <w:rPr>
                <w:color w:val="auto"/>
                <w:lang w:val="en-US"/>
              </w:rPr>
              <w:t xml:space="preserve">, C. </w:t>
            </w:r>
            <w:proofErr w:type="spellStart"/>
            <w:r w:rsidRPr="007405D8">
              <w:rPr>
                <w:color w:val="auto"/>
                <w:lang w:val="en-US"/>
              </w:rPr>
              <w:t>Maucieri</w:t>
            </w:r>
            <w:proofErr w:type="spellEnd"/>
            <w:r w:rsidRPr="007405D8">
              <w:rPr>
                <w:color w:val="auto"/>
                <w:lang w:val="en-US"/>
              </w:rPr>
              <w:t xml:space="preserve">, Y. Wang, L. </w:t>
            </w:r>
            <w:proofErr w:type="spellStart"/>
            <w:r w:rsidRPr="007405D8">
              <w:rPr>
                <w:color w:val="auto"/>
                <w:lang w:val="en-US"/>
              </w:rPr>
              <w:t>McCarton</w:t>
            </w:r>
            <w:proofErr w:type="spellEnd"/>
            <w:r w:rsidRPr="007405D8">
              <w:rPr>
                <w:color w:val="auto"/>
                <w:lang w:val="en-US"/>
              </w:rPr>
              <w:t xml:space="preserve">, S. </w:t>
            </w:r>
            <w:proofErr w:type="spellStart"/>
            <w:r w:rsidRPr="007405D8">
              <w:rPr>
                <w:color w:val="auto"/>
                <w:lang w:val="en-US"/>
              </w:rPr>
              <w:t>O'Hogain</w:t>
            </w:r>
            <w:proofErr w:type="spellEnd"/>
            <w:r w:rsidRPr="007405D8">
              <w:rPr>
                <w:color w:val="auto"/>
                <w:lang w:val="en-US"/>
              </w:rPr>
              <w:t xml:space="preserve">, S. Schmidt, G. Vidal, C.H. Crespo (2021). Editorial: Introduction to the Nature-Based Solutions journal. Nature-Based </w:t>
            </w:r>
            <w:proofErr w:type="spellStart"/>
            <w:r w:rsidRPr="007405D8">
              <w:rPr>
                <w:color w:val="auto"/>
                <w:lang w:val="en-US"/>
              </w:rPr>
              <w:t>Solut</w:t>
            </w:r>
            <w:proofErr w:type="spellEnd"/>
            <w:r w:rsidRPr="007405D8">
              <w:rPr>
                <w:color w:val="auto"/>
                <w:lang w:val="en-US"/>
              </w:rPr>
              <w:t>, 1, 100003, 10.1016/j.nbsj.2021.100003</w:t>
            </w:r>
          </w:p>
          <w:p w14:paraId="3BE4FDF4" w14:textId="77777777" w:rsidR="00075644" w:rsidRDefault="00075644" w:rsidP="006D67C2">
            <w:pPr>
              <w:spacing w:after="43"/>
              <w:ind w:right="45"/>
              <w:jc w:val="both"/>
              <w:rPr>
                <w:color w:val="auto"/>
                <w:lang w:val="en-US"/>
              </w:rPr>
            </w:pPr>
          </w:p>
          <w:p w14:paraId="5AEF5F04" w14:textId="727F9A9B" w:rsidR="007405D8" w:rsidRPr="007405D8" w:rsidRDefault="007405D8" w:rsidP="007405D8">
            <w:pPr>
              <w:rPr>
                <w:lang w:val="en-US"/>
              </w:rPr>
            </w:pPr>
            <w:r w:rsidRPr="007405D8">
              <w:rPr>
                <w:lang w:val="en-US"/>
              </w:rPr>
              <w:t>Cohen-</w:t>
            </w:r>
            <w:proofErr w:type="spellStart"/>
            <w:r w:rsidRPr="007405D8">
              <w:rPr>
                <w:lang w:val="en-US"/>
              </w:rPr>
              <w:t>Shacham</w:t>
            </w:r>
            <w:proofErr w:type="spellEnd"/>
            <w:r w:rsidRPr="007405D8">
              <w:rPr>
                <w:lang w:val="en-US"/>
              </w:rPr>
              <w:t xml:space="preserve"> E, </w:t>
            </w:r>
            <w:proofErr w:type="spellStart"/>
            <w:r w:rsidRPr="007405D8">
              <w:rPr>
                <w:lang w:val="en-US"/>
              </w:rPr>
              <w:t>Maginnis</w:t>
            </w:r>
            <w:proofErr w:type="spellEnd"/>
            <w:r w:rsidRPr="007405D8">
              <w:rPr>
                <w:lang w:val="en-US"/>
              </w:rPr>
              <w:t xml:space="preserve"> S, Smith M, et al (2016) 1.2 Defining </w:t>
            </w:r>
            <w:proofErr w:type="spellStart"/>
            <w:r w:rsidRPr="007405D8">
              <w:rPr>
                <w:lang w:val="en-US"/>
              </w:rPr>
              <w:t>NbS</w:t>
            </w:r>
            <w:proofErr w:type="spellEnd"/>
            <w:r w:rsidRPr="007405D8">
              <w:rPr>
                <w:lang w:val="en-US"/>
              </w:rPr>
              <w:t>. In: Cohen-</w:t>
            </w:r>
            <w:proofErr w:type="spellStart"/>
            <w:r w:rsidRPr="007405D8">
              <w:rPr>
                <w:lang w:val="en-US"/>
              </w:rPr>
              <w:t>Shacham</w:t>
            </w:r>
            <w:proofErr w:type="spellEnd"/>
            <w:r w:rsidRPr="007405D8">
              <w:rPr>
                <w:lang w:val="en-US"/>
              </w:rPr>
              <w:t xml:space="preserve"> E, Wal</w:t>
            </w:r>
            <w:bookmarkStart w:id="0" w:name="_GoBack"/>
            <w:bookmarkEnd w:id="0"/>
            <w:r w:rsidRPr="00BA0E44">
              <w:rPr>
                <w:lang w:val="en-US"/>
              </w:rPr>
              <w:t>ters G,</w:t>
            </w:r>
            <w:r w:rsidRPr="00BA0E44">
              <w:rPr>
                <w:lang w:val="en-US"/>
              </w:rPr>
              <w:t xml:space="preserve"> </w:t>
            </w:r>
            <w:r w:rsidRPr="00BA0E44">
              <w:rPr>
                <w:lang w:val="en-US"/>
              </w:rPr>
              <w:t xml:space="preserve">Janzen C, </w:t>
            </w:r>
            <w:proofErr w:type="spellStart"/>
            <w:r w:rsidRPr="00BA0E44">
              <w:rPr>
                <w:lang w:val="en-US"/>
              </w:rPr>
              <w:t>Maginnis</w:t>
            </w:r>
            <w:proofErr w:type="spellEnd"/>
            <w:r w:rsidRPr="00BA0E44">
              <w:rPr>
                <w:lang w:val="en-US"/>
              </w:rPr>
              <w:t xml:space="preserve"> S (eds.) (2016) Nature-based Solutions to address global societal challenges, 5-7. Gland, Switzerland: IUCN. xiii + 97pp. </w:t>
            </w:r>
            <w:hyperlink r:id="rId7" w:history="1">
              <w:r w:rsidRPr="00BA0E44">
                <w:rPr>
                  <w:rStyle w:val="Collegamentoipertestuale"/>
                  <w:lang w:val="en-US"/>
                </w:rPr>
                <w:t>https://portals.iucn.org/library/sites/library/files/documents/2016-036.pdf</w:t>
              </w:r>
            </w:hyperlink>
            <w:r w:rsidRPr="007405D8">
              <w:rPr>
                <w:lang w:val="en-US"/>
              </w:rPr>
              <w:t xml:space="preserve"> (accessed September 3, 2021)</w:t>
            </w:r>
          </w:p>
          <w:p w14:paraId="1731A028" w14:textId="4A9B1E44" w:rsidR="007405D8" w:rsidRPr="001B3A20" w:rsidRDefault="007405D8" w:rsidP="006D67C2">
            <w:pPr>
              <w:spacing w:after="43"/>
              <w:ind w:right="45"/>
              <w:jc w:val="both"/>
              <w:rPr>
                <w:color w:val="auto"/>
                <w:lang w:val="en-US"/>
              </w:rPr>
            </w:pPr>
          </w:p>
        </w:tc>
      </w:tr>
      <w:tr w:rsidR="00F1565E" w:rsidRPr="00BA34A3"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1B3A20" w:rsidRDefault="000507DB" w:rsidP="000507DB">
            <w:pPr>
              <w:spacing w:after="0"/>
              <w:rPr>
                <w:color w:val="auto"/>
                <w:sz w:val="20"/>
                <w:lang w:val="en-US"/>
              </w:rPr>
            </w:pPr>
            <w:r w:rsidRPr="001B3A20">
              <w:rPr>
                <w:color w:val="auto"/>
                <w:sz w:val="20"/>
                <w:lang w:val="en-US"/>
              </w:rPr>
              <w:t>Quality criteria 6: Theory/Practice-oriented components are sufficient to cater the learning outcomes and skills</w:t>
            </w:r>
          </w:p>
          <w:p w14:paraId="26B3FD2B" w14:textId="6D6D510C" w:rsidR="000507DB" w:rsidRPr="001B3A20" w:rsidRDefault="000507DB" w:rsidP="000507DB">
            <w:pPr>
              <w:spacing w:after="0"/>
              <w:rPr>
                <w:i/>
                <w:color w:val="auto"/>
                <w:sz w:val="20"/>
                <w:lang w:val="en-US"/>
              </w:rPr>
            </w:pPr>
            <w:r w:rsidRPr="001B3A20">
              <w:rPr>
                <w:color w:val="auto"/>
                <w:sz w:val="20"/>
                <w:lang w:val="en-US"/>
              </w:rPr>
              <w:t>development</w:t>
            </w:r>
          </w:p>
        </w:tc>
      </w:tr>
      <w:tr w:rsidR="00F1565E" w:rsidRPr="00B537C7"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1B3A20" w:rsidRDefault="00697CD8" w:rsidP="00697CD8">
            <w:pPr>
              <w:numPr>
                <w:ilvl w:val="0"/>
                <w:numId w:val="3"/>
              </w:numPr>
              <w:spacing w:after="0"/>
              <w:ind w:hanging="360"/>
              <w:rPr>
                <w:i/>
                <w:color w:val="auto"/>
                <w:sz w:val="20"/>
              </w:rPr>
            </w:pPr>
            <w:r w:rsidRPr="001B3A20">
              <w:rPr>
                <w:i/>
                <w:color w:val="auto"/>
                <w:sz w:val="20"/>
              </w:rPr>
              <w:t>Evaluation</w:t>
            </w:r>
          </w:p>
          <w:p w14:paraId="49792195" w14:textId="59E39A38" w:rsidR="00697CD8" w:rsidRPr="001B3A20" w:rsidRDefault="00697CD8" w:rsidP="00E46CC8">
            <w:pPr>
              <w:spacing w:after="43"/>
              <w:ind w:right="45"/>
              <w:rPr>
                <w:color w:val="auto"/>
                <w:lang w:val="en-US"/>
              </w:rPr>
            </w:pPr>
            <w:r w:rsidRPr="001B3A20">
              <w:rPr>
                <w:color w:val="auto"/>
                <w:lang w:val="en-US"/>
              </w:rPr>
              <w:t>Theory and practice-oriented</w:t>
            </w:r>
            <w:r w:rsidR="000A4568" w:rsidRPr="001B3A20">
              <w:rPr>
                <w:color w:val="auto"/>
                <w:lang w:val="en-US"/>
              </w:rPr>
              <w:t xml:space="preserve"> (case studies) components</w:t>
            </w:r>
            <w:r w:rsidRPr="001B3A20">
              <w:rPr>
                <w:color w:val="auto"/>
                <w:lang w:val="en-US"/>
              </w:rPr>
              <w:t xml:space="preserve"> </w:t>
            </w:r>
            <w:r w:rsidR="00C93A5E" w:rsidRPr="001B3A20">
              <w:rPr>
                <w:color w:val="auto"/>
                <w:lang w:val="en-US"/>
              </w:rPr>
              <w:t xml:space="preserve">are </w:t>
            </w:r>
            <w:r w:rsidR="00F67E02" w:rsidRPr="001B3A20">
              <w:rPr>
                <w:color w:val="auto"/>
                <w:lang w:val="en-US"/>
              </w:rPr>
              <w:t xml:space="preserve">properly weighted </w:t>
            </w:r>
            <w:r w:rsidR="00555B50" w:rsidRPr="001B3A20">
              <w:rPr>
                <w:color w:val="auto"/>
                <w:lang w:val="en-US"/>
              </w:rPr>
              <w:t xml:space="preserve">in terms of learning hours </w:t>
            </w:r>
            <w:r w:rsidR="00F67E02" w:rsidRPr="001B3A20">
              <w:rPr>
                <w:color w:val="auto"/>
                <w:lang w:val="en-US"/>
              </w:rPr>
              <w:t xml:space="preserve">based on the course content </w:t>
            </w:r>
            <w:r w:rsidR="00555B50" w:rsidRPr="001B3A20">
              <w:rPr>
                <w:color w:val="auto"/>
                <w:lang w:val="en-US"/>
              </w:rPr>
              <w:t>and</w:t>
            </w:r>
            <w:r w:rsidRPr="001B3A20">
              <w:rPr>
                <w:color w:val="auto"/>
                <w:lang w:val="en-US"/>
              </w:rPr>
              <w:t xml:space="preserve"> well connected </w:t>
            </w:r>
            <w:r w:rsidR="00E46CC8" w:rsidRPr="001B3A20">
              <w:rPr>
                <w:color w:val="auto"/>
                <w:lang w:val="en-US"/>
              </w:rPr>
              <w:t xml:space="preserve">to </w:t>
            </w:r>
            <w:r w:rsidRPr="001B3A20">
              <w:rPr>
                <w:color w:val="auto"/>
                <w:lang w:val="en-US"/>
              </w:rPr>
              <w:t>learning outcomes and target skills</w:t>
            </w:r>
            <w:r w:rsidR="00555B50" w:rsidRPr="001B3A20">
              <w:rPr>
                <w:color w:val="auto"/>
                <w:lang w:val="en-US"/>
              </w:rPr>
              <w:t>.</w:t>
            </w:r>
          </w:p>
          <w:p w14:paraId="0BA0294B" w14:textId="77777777" w:rsidR="0059224A" w:rsidRPr="001B3A20" w:rsidRDefault="0059224A" w:rsidP="00E46CC8">
            <w:pPr>
              <w:spacing w:after="43"/>
              <w:ind w:right="45"/>
              <w:rPr>
                <w:color w:val="auto"/>
                <w:lang w:val="en-US"/>
              </w:rPr>
            </w:pPr>
          </w:p>
          <w:p w14:paraId="470A2D24" w14:textId="77777777" w:rsidR="00697CD8" w:rsidRPr="001B3A20" w:rsidRDefault="00697CD8" w:rsidP="00697CD8">
            <w:pPr>
              <w:numPr>
                <w:ilvl w:val="0"/>
                <w:numId w:val="3"/>
              </w:numPr>
              <w:spacing w:after="0"/>
              <w:ind w:hanging="360"/>
              <w:rPr>
                <w:i/>
                <w:color w:val="auto"/>
                <w:sz w:val="20"/>
              </w:rPr>
            </w:pPr>
            <w:proofErr w:type="spellStart"/>
            <w:r w:rsidRPr="001B3A20">
              <w:rPr>
                <w:i/>
                <w:color w:val="auto"/>
                <w:sz w:val="20"/>
              </w:rPr>
              <w:t>Strategies</w:t>
            </w:r>
            <w:proofErr w:type="spellEnd"/>
            <w:r w:rsidRPr="001B3A20">
              <w:rPr>
                <w:i/>
                <w:color w:val="auto"/>
                <w:sz w:val="20"/>
              </w:rPr>
              <w:t xml:space="preserve"> for improvement</w:t>
            </w:r>
          </w:p>
          <w:p w14:paraId="0983A761" w14:textId="3244B3B5" w:rsidR="00697CD8" w:rsidRPr="001B3A20" w:rsidRDefault="00863422" w:rsidP="00697CD8">
            <w:pPr>
              <w:spacing w:after="43"/>
              <w:ind w:right="45"/>
              <w:jc w:val="both"/>
              <w:rPr>
                <w:color w:val="auto"/>
                <w:lang w:val="en-US"/>
              </w:rPr>
            </w:pPr>
            <w:r w:rsidRPr="001B3A20">
              <w:rPr>
                <w:color w:val="auto"/>
                <w:lang w:val="en-US"/>
              </w:rPr>
              <w:t>No additional strategies are required</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8"/>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26BD" w14:textId="77777777" w:rsidR="00FD2E31" w:rsidRDefault="00FD2E31">
      <w:pPr>
        <w:spacing w:after="0"/>
      </w:pPr>
      <w:r>
        <w:separator/>
      </w:r>
    </w:p>
  </w:endnote>
  <w:endnote w:type="continuationSeparator" w:id="0">
    <w:p w14:paraId="12535ADB" w14:textId="77777777" w:rsidR="00FD2E31" w:rsidRDefault="00FD2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92A1" w14:textId="77777777" w:rsidR="00FD2E31" w:rsidRDefault="00FD2E31">
      <w:pPr>
        <w:spacing w:after="0"/>
      </w:pPr>
      <w:r>
        <w:separator/>
      </w:r>
    </w:p>
  </w:footnote>
  <w:footnote w:type="continuationSeparator" w:id="0">
    <w:p w14:paraId="35598E7B" w14:textId="77777777" w:rsidR="00FD2E31" w:rsidRDefault="00FD2E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05CD306C"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971147" w:rsidRPr="00A93E13">
      <w:rPr>
        <w:noProof/>
      </w:rPr>
      <w:drawing>
        <wp:inline distT="0" distB="0" distL="0" distR="0" wp14:anchorId="2BC760CC" wp14:editId="1AD9497A">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E3D1A" w:rsidRPr="000E3D1A">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7C35"/>
    <w:rsid w:val="0004177B"/>
    <w:rsid w:val="000507DB"/>
    <w:rsid w:val="00065F32"/>
    <w:rsid w:val="00075644"/>
    <w:rsid w:val="000775C4"/>
    <w:rsid w:val="000A0E66"/>
    <w:rsid w:val="000A3A2B"/>
    <w:rsid w:val="000A4568"/>
    <w:rsid w:val="000C0344"/>
    <w:rsid w:val="000E011F"/>
    <w:rsid w:val="000E121E"/>
    <w:rsid w:val="000E3D1A"/>
    <w:rsid w:val="000F7977"/>
    <w:rsid w:val="00116717"/>
    <w:rsid w:val="00130B69"/>
    <w:rsid w:val="00142E6B"/>
    <w:rsid w:val="00145D24"/>
    <w:rsid w:val="00154C33"/>
    <w:rsid w:val="00154E94"/>
    <w:rsid w:val="001606D5"/>
    <w:rsid w:val="00161913"/>
    <w:rsid w:val="001750EC"/>
    <w:rsid w:val="00176D9C"/>
    <w:rsid w:val="00177427"/>
    <w:rsid w:val="00183B00"/>
    <w:rsid w:val="0019762D"/>
    <w:rsid w:val="001A4D8F"/>
    <w:rsid w:val="001A6985"/>
    <w:rsid w:val="001A79A8"/>
    <w:rsid w:val="001B3A20"/>
    <w:rsid w:val="001B41BC"/>
    <w:rsid w:val="001C1320"/>
    <w:rsid w:val="001D2023"/>
    <w:rsid w:val="001D3441"/>
    <w:rsid w:val="001D70C6"/>
    <w:rsid w:val="001E7A28"/>
    <w:rsid w:val="00200937"/>
    <w:rsid w:val="00205113"/>
    <w:rsid w:val="00217A54"/>
    <w:rsid w:val="00224898"/>
    <w:rsid w:val="00225F33"/>
    <w:rsid w:val="00250701"/>
    <w:rsid w:val="00252987"/>
    <w:rsid w:val="00280723"/>
    <w:rsid w:val="0029036A"/>
    <w:rsid w:val="00295C9A"/>
    <w:rsid w:val="002B03AE"/>
    <w:rsid w:val="002C1148"/>
    <w:rsid w:val="002C2844"/>
    <w:rsid w:val="002D712F"/>
    <w:rsid w:val="002E1395"/>
    <w:rsid w:val="002F0333"/>
    <w:rsid w:val="00302436"/>
    <w:rsid w:val="00340A6A"/>
    <w:rsid w:val="00345920"/>
    <w:rsid w:val="00347CDC"/>
    <w:rsid w:val="00367411"/>
    <w:rsid w:val="00374E86"/>
    <w:rsid w:val="00382381"/>
    <w:rsid w:val="00387063"/>
    <w:rsid w:val="003A6F26"/>
    <w:rsid w:val="0040284F"/>
    <w:rsid w:val="00403F7B"/>
    <w:rsid w:val="004044F0"/>
    <w:rsid w:val="00410E19"/>
    <w:rsid w:val="0041371D"/>
    <w:rsid w:val="004210E8"/>
    <w:rsid w:val="0042785C"/>
    <w:rsid w:val="0043613F"/>
    <w:rsid w:val="00445122"/>
    <w:rsid w:val="004540A3"/>
    <w:rsid w:val="004713CA"/>
    <w:rsid w:val="00484B4D"/>
    <w:rsid w:val="004856A4"/>
    <w:rsid w:val="004A234C"/>
    <w:rsid w:val="004B508B"/>
    <w:rsid w:val="004C1DD1"/>
    <w:rsid w:val="00506C44"/>
    <w:rsid w:val="0051101E"/>
    <w:rsid w:val="00555B50"/>
    <w:rsid w:val="00560240"/>
    <w:rsid w:val="00561C08"/>
    <w:rsid w:val="00582A61"/>
    <w:rsid w:val="0059224A"/>
    <w:rsid w:val="00593648"/>
    <w:rsid w:val="005974C1"/>
    <w:rsid w:val="005B745A"/>
    <w:rsid w:val="005E09BB"/>
    <w:rsid w:val="00602E68"/>
    <w:rsid w:val="00621A15"/>
    <w:rsid w:val="00621F34"/>
    <w:rsid w:val="006347D9"/>
    <w:rsid w:val="0065311D"/>
    <w:rsid w:val="00661704"/>
    <w:rsid w:val="0067374C"/>
    <w:rsid w:val="00677052"/>
    <w:rsid w:val="00697CD8"/>
    <w:rsid w:val="006C4221"/>
    <w:rsid w:val="006D5716"/>
    <w:rsid w:val="006D67C2"/>
    <w:rsid w:val="006E29B2"/>
    <w:rsid w:val="00730749"/>
    <w:rsid w:val="007321D4"/>
    <w:rsid w:val="00734E4D"/>
    <w:rsid w:val="0073611D"/>
    <w:rsid w:val="00736ED7"/>
    <w:rsid w:val="007405D8"/>
    <w:rsid w:val="007602F4"/>
    <w:rsid w:val="00764B84"/>
    <w:rsid w:val="00773A01"/>
    <w:rsid w:val="007A4578"/>
    <w:rsid w:val="007B5085"/>
    <w:rsid w:val="007C40A4"/>
    <w:rsid w:val="007F4034"/>
    <w:rsid w:val="00806D44"/>
    <w:rsid w:val="00821BF0"/>
    <w:rsid w:val="00826080"/>
    <w:rsid w:val="00836E1A"/>
    <w:rsid w:val="00837B99"/>
    <w:rsid w:val="00853A04"/>
    <w:rsid w:val="00863422"/>
    <w:rsid w:val="00873E0C"/>
    <w:rsid w:val="008945AA"/>
    <w:rsid w:val="008A0253"/>
    <w:rsid w:val="008A3A25"/>
    <w:rsid w:val="008A4C07"/>
    <w:rsid w:val="008B0071"/>
    <w:rsid w:val="008B54A7"/>
    <w:rsid w:val="008D47F7"/>
    <w:rsid w:val="008E5916"/>
    <w:rsid w:val="008F1A1A"/>
    <w:rsid w:val="008F5840"/>
    <w:rsid w:val="00942E0A"/>
    <w:rsid w:val="0094607C"/>
    <w:rsid w:val="0095450D"/>
    <w:rsid w:val="00964D65"/>
    <w:rsid w:val="00966C72"/>
    <w:rsid w:val="00967DB6"/>
    <w:rsid w:val="00967F89"/>
    <w:rsid w:val="00971147"/>
    <w:rsid w:val="00973F3E"/>
    <w:rsid w:val="00994AAB"/>
    <w:rsid w:val="009D3A15"/>
    <w:rsid w:val="009D62FC"/>
    <w:rsid w:val="009E5AE0"/>
    <w:rsid w:val="009E636C"/>
    <w:rsid w:val="009F13FF"/>
    <w:rsid w:val="009F4432"/>
    <w:rsid w:val="009F79F9"/>
    <w:rsid w:val="00A045BA"/>
    <w:rsid w:val="00A05ACD"/>
    <w:rsid w:val="00A15392"/>
    <w:rsid w:val="00A20213"/>
    <w:rsid w:val="00A31702"/>
    <w:rsid w:val="00A328B1"/>
    <w:rsid w:val="00A548B1"/>
    <w:rsid w:val="00A601FA"/>
    <w:rsid w:val="00A61AC2"/>
    <w:rsid w:val="00A6279C"/>
    <w:rsid w:val="00A64A29"/>
    <w:rsid w:val="00A83ECF"/>
    <w:rsid w:val="00A9190D"/>
    <w:rsid w:val="00A9506F"/>
    <w:rsid w:val="00AA3D3D"/>
    <w:rsid w:val="00AC216E"/>
    <w:rsid w:val="00AD2667"/>
    <w:rsid w:val="00AE184E"/>
    <w:rsid w:val="00AF34FA"/>
    <w:rsid w:val="00B062C2"/>
    <w:rsid w:val="00B11D26"/>
    <w:rsid w:val="00B150E6"/>
    <w:rsid w:val="00B21FF4"/>
    <w:rsid w:val="00B24A96"/>
    <w:rsid w:val="00B323DE"/>
    <w:rsid w:val="00B342F5"/>
    <w:rsid w:val="00B34C1B"/>
    <w:rsid w:val="00B537C7"/>
    <w:rsid w:val="00B56318"/>
    <w:rsid w:val="00B6013A"/>
    <w:rsid w:val="00B61B92"/>
    <w:rsid w:val="00B6566C"/>
    <w:rsid w:val="00B72394"/>
    <w:rsid w:val="00B74574"/>
    <w:rsid w:val="00BA0E44"/>
    <w:rsid w:val="00BA34A3"/>
    <w:rsid w:val="00BB298F"/>
    <w:rsid w:val="00BC6807"/>
    <w:rsid w:val="00BD737C"/>
    <w:rsid w:val="00BE4C86"/>
    <w:rsid w:val="00C0376D"/>
    <w:rsid w:val="00C074F5"/>
    <w:rsid w:val="00C13FD3"/>
    <w:rsid w:val="00C14380"/>
    <w:rsid w:val="00C1556F"/>
    <w:rsid w:val="00C23FFA"/>
    <w:rsid w:val="00C30635"/>
    <w:rsid w:val="00C4055A"/>
    <w:rsid w:val="00C46AE2"/>
    <w:rsid w:val="00C513AB"/>
    <w:rsid w:val="00C57F1F"/>
    <w:rsid w:val="00C61843"/>
    <w:rsid w:val="00C62473"/>
    <w:rsid w:val="00C64514"/>
    <w:rsid w:val="00C85A97"/>
    <w:rsid w:val="00C93A5E"/>
    <w:rsid w:val="00C97A77"/>
    <w:rsid w:val="00CA06B8"/>
    <w:rsid w:val="00CD42D0"/>
    <w:rsid w:val="00CF1AE9"/>
    <w:rsid w:val="00CF2A6A"/>
    <w:rsid w:val="00D05058"/>
    <w:rsid w:val="00D06B5C"/>
    <w:rsid w:val="00D1595E"/>
    <w:rsid w:val="00D21DD3"/>
    <w:rsid w:val="00D36224"/>
    <w:rsid w:val="00D424F8"/>
    <w:rsid w:val="00D5108E"/>
    <w:rsid w:val="00D84B81"/>
    <w:rsid w:val="00D8722E"/>
    <w:rsid w:val="00D91F51"/>
    <w:rsid w:val="00D944AF"/>
    <w:rsid w:val="00DC5707"/>
    <w:rsid w:val="00DC76C2"/>
    <w:rsid w:val="00DD0BC0"/>
    <w:rsid w:val="00DE3D89"/>
    <w:rsid w:val="00DE6FCE"/>
    <w:rsid w:val="00E15DAD"/>
    <w:rsid w:val="00E1648F"/>
    <w:rsid w:val="00E46CC8"/>
    <w:rsid w:val="00E471FF"/>
    <w:rsid w:val="00E50F23"/>
    <w:rsid w:val="00E629B1"/>
    <w:rsid w:val="00E655F2"/>
    <w:rsid w:val="00E75716"/>
    <w:rsid w:val="00E852BD"/>
    <w:rsid w:val="00E866B6"/>
    <w:rsid w:val="00E9442A"/>
    <w:rsid w:val="00EA2F9D"/>
    <w:rsid w:val="00EF04CB"/>
    <w:rsid w:val="00F021F4"/>
    <w:rsid w:val="00F1164E"/>
    <w:rsid w:val="00F1232C"/>
    <w:rsid w:val="00F1565E"/>
    <w:rsid w:val="00F22E11"/>
    <w:rsid w:val="00F3789C"/>
    <w:rsid w:val="00F52B6B"/>
    <w:rsid w:val="00F56F78"/>
    <w:rsid w:val="00F64167"/>
    <w:rsid w:val="00F67E02"/>
    <w:rsid w:val="00F726DB"/>
    <w:rsid w:val="00F7421E"/>
    <w:rsid w:val="00F81F36"/>
    <w:rsid w:val="00F96559"/>
    <w:rsid w:val="00FC0CC1"/>
    <w:rsid w:val="00FD2E3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s.iucn.org/library/sites/library/files/documents/2016-0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31</cp:revision>
  <dcterms:created xsi:type="dcterms:W3CDTF">2021-11-26T15:07:00Z</dcterms:created>
  <dcterms:modified xsi:type="dcterms:W3CDTF">2022-09-08T13:24:00Z</dcterms:modified>
</cp:coreProperties>
</file>