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37A255C7" w:rsidR="002F0333" w:rsidRDefault="00F656D3">
      <w:pPr>
        <w:spacing w:after="0"/>
        <w:ind w:left="10" w:right="-4631" w:hanging="10"/>
        <w:rPr>
          <w:b/>
          <w:lang w:val="en-US"/>
        </w:rPr>
      </w:pPr>
      <w:r>
        <w:rPr>
          <w:b/>
          <w:lang w:val="en-US"/>
        </w:rPr>
        <w:t xml:space="preserve">                  </w:t>
      </w:r>
      <w:r w:rsidR="001A7844">
        <w:rPr>
          <w:b/>
          <w:lang w:val="en-US"/>
        </w:rPr>
        <w:t xml:space="preserve">   </w:t>
      </w: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50A5FA9D" w:rsidR="00154E94" w:rsidRDefault="00AC4911">
      <w:pPr>
        <w:pStyle w:val="Titolo1"/>
        <w:rPr>
          <w:lang w:val="en-US"/>
        </w:rPr>
      </w:pPr>
      <w:r>
        <w:rPr>
          <w:lang w:val="en-US"/>
        </w:rPr>
        <w:t>Elective</w:t>
      </w:r>
      <w:r w:rsidR="00821BF0">
        <w:rPr>
          <w:lang w:val="en-US"/>
        </w:rPr>
        <w:t xml:space="preserve"> course</w:t>
      </w:r>
      <w:r w:rsidR="00EA2F9D" w:rsidRPr="00506C44">
        <w:rPr>
          <w:lang w:val="en-US"/>
        </w:rPr>
        <w:t>: “</w:t>
      </w:r>
      <w:r>
        <w:rPr>
          <w:rStyle w:val="apple-converted-space"/>
          <w:rFonts w:ascii="Times New Roman" w:hAnsi="Times New Roman" w:cs="Times New Roman"/>
          <w:color w:val="000000"/>
          <w:sz w:val="24"/>
          <w:shd w:val="clear" w:color="auto" w:fill="FFFFFF"/>
          <w:lang w:val="en-US"/>
        </w:rPr>
        <w:t>Environmental Design and GIS application</w:t>
      </w:r>
      <w:r w:rsidR="00EA2F9D" w:rsidRPr="00506C44">
        <w:rPr>
          <w:lang w:val="en-US"/>
        </w:rPr>
        <w:t>”</w:t>
      </w:r>
    </w:p>
    <w:p w14:paraId="0816A9F0" w14:textId="7602BA21" w:rsidR="00367411" w:rsidRPr="00A83ECF" w:rsidRDefault="000E011F" w:rsidP="00A83ECF">
      <w:pPr>
        <w:pStyle w:val="Titolo1"/>
        <w:rPr>
          <w:lang w:val="en-US"/>
        </w:rPr>
      </w:pPr>
      <w:proofErr w:type="spellStart"/>
      <w:r w:rsidRPr="000E011F">
        <w:rPr>
          <w:lang w:val="en-US"/>
        </w:rPr>
        <w:t>Nirma</w:t>
      </w:r>
      <w:proofErr w:type="spellEnd"/>
      <w:r w:rsidRPr="000E011F">
        <w:rPr>
          <w:lang w:val="en-US"/>
        </w:rPr>
        <w:t xml:space="preserve"> University</w:t>
      </w:r>
    </w:p>
    <w:p w14:paraId="776430D9" w14:textId="18A59C13" w:rsidR="00826080" w:rsidRPr="00506C44" w:rsidRDefault="00B342F5">
      <w:pPr>
        <w:pStyle w:val="Titolo1"/>
        <w:rPr>
          <w:lang w:val="en-US"/>
        </w:rPr>
      </w:pPr>
      <w:r>
        <w:rPr>
          <w:color w:val="000000"/>
          <w:lang w:val="en-US"/>
        </w:rPr>
        <w:t>Bachelor</w:t>
      </w:r>
      <w:r w:rsidR="00154E94" w:rsidRPr="00037C35">
        <w:rPr>
          <w:color w:val="000000"/>
          <w:lang w:val="en-US"/>
        </w:rPr>
        <w:t xml:space="preserve"> Degree</w:t>
      </w:r>
      <w:r w:rsidR="000E3D1A" w:rsidRPr="00037C35">
        <w:rPr>
          <w:color w:val="000000"/>
          <w:lang w:val="en-US"/>
        </w:rPr>
        <w:t>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BB427A"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BB427A"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5239410" w14:textId="77777777" w:rsidR="00BB427A" w:rsidRPr="00BB427A" w:rsidRDefault="00BB427A" w:rsidP="00BB427A">
            <w:pPr>
              <w:numPr>
                <w:ilvl w:val="0"/>
                <w:numId w:val="1"/>
              </w:numPr>
              <w:spacing w:after="0"/>
              <w:ind w:hanging="360"/>
              <w:rPr>
                <w:color w:val="auto"/>
              </w:rPr>
            </w:pPr>
            <w:r w:rsidRPr="00BB427A">
              <w:rPr>
                <w:i/>
                <w:color w:val="auto"/>
                <w:sz w:val="20"/>
              </w:rPr>
              <w:t xml:space="preserve">Evaluation </w:t>
            </w:r>
          </w:p>
          <w:p w14:paraId="08D7F869" w14:textId="4B93B81D" w:rsidR="00EE0702" w:rsidRPr="00C700DA" w:rsidRDefault="00BB427A" w:rsidP="00BB427A">
            <w:pPr>
              <w:spacing w:after="0"/>
              <w:rPr>
                <w:color w:val="auto"/>
                <w:lang w:val="en-US"/>
              </w:rPr>
            </w:pPr>
            <w:r w:rsidRPr="00BB427A">
              <w:rPr>
                <w:color w:val="auto"/>
                <w:lang w:val="en-US"/>
              </w:rPr>
              <w:t xml:space="preserve">The </w:t>
            </w:r>
            <w:r w:rsidR="00507DB7" w:rsidRPr="00C700DA">
              <w:rPr>
                <w:color w:val="auto"/>
                <w:lang w:val="en-US"/>
              </w:rPr>
              <w:t>4</w:t>
            </w:r>
            <w:r w:rsidRPr="00BB427A">
              <w:rPr>
                <w:color w:val="auto"/>
                <w:lang w:val="en-US"/>
              </w:rPr>
              <w:t xml:space="preserve"> units give the students a </w:t>
            </w:r>
            <w:r w:rsidR="00EE0702" w:rsidRPr="00C700DA">
              <w:rPr>
                <w:color w:val="auto"/>
                <w:lang w:val="en-US"/>
              </w:rPr>
              <w:t xml:space="preserve">sufficient </w:t>
            </w:r>
            <w:r w:rsidRPr="00BB427A">
              <w:rPr>
                <w:color w:val="auto"/>
                <w:lang w:val="en-US"/>
              </w:rPr>
              <w:t xml:space="preserve">background about the </w:t>
            </w:r>
            <w:r w:rsidR="00EE0702" w:rsidRPr="00C700DA">
              <w:rPr>
                <w:color w:val="auto"/>
                <w:lang w:val="en-US"/>
              </w:rPr>
              <w:t>basic of environmental</w:t>
            </w:r>
            <w:r w:rsidRPr="00BB427A">
              <w:rPr>
                <w:color w:val="auto"/>
                <w:lang w:val="en-US"/>
              </w:rPr>
              <w:t xml:space="preserve"> </w:t>
            </w:r>
            <w:r w:rsidR="00EE0702" w:rsidRPr="00C700DA">
              <w:rPr>
                <w:color w:val="auto"/>
                <w:lang w:val="en-US"/>
              </w:rPr>
              <w:t>design with spatial explicit tools such as NBS.</w:t>
            </w:r>
          </w:p>
          <w:p w14:paraId="780F9F72" w14:textId="77777777" w:rsidR="00BB427A" w:rsidRPr="00BB427A" w:rsidRDefault="00BB427A" w:rsidP="00BB427A">
            <w:pPr>
              <w:spacing w:after="0"/>
              <w:rPr>
                <w:color w:val="auto"/>
                <w:lang w:val="en-US"/>
              </w:rPr>
            </w:pPr>
          </w:p>
          <w:p w14:paraId="0A64D6AC" w14:textId="678906DC" w:rsidR="00BB427A" w:rsidRPr="00C700DA" w:rsidRDefault="00BB427A" w:rsidP="00BB427A">
            <w:pPr>
              <w:spacing w:after="0"/>
              <w:rPr>
                <w:color w:val="auto"/>
                <w:lang w:val="en-US"/>
              </w:rPr>
            </w:pPr>
            <w:r w:rsidRPr="00BB427A">
              <w:rPr>
                <w:color w:val="auto"/>
                <w:lang w:val="en-US"/>
              </w:rPr>
              <w:t>The units contain a balanced numbers of learning objectives and outcomes sustainable for a good level of learning.</w:t>
            </w:r>
          </w:p>
          <w:p w14:paraId="3FA315A2" w14:textId="29EAB0A5" w:rsidR="00D5349D" w:rsidRPr="00BB427A" w:rsidRDefault="00D5349D" w:rsidP="00BB427A">
            <w:pPr>
              <w:spacing w:after="0"/>
              <w:rPr>
                <w:color w:val="auto"/>
                <w:lang w:val="en-US"/>
              </w:rPr>
            </w:pPr>
            <w:r w:rsidRPr="00C700DA">
              <w:rPr>
                <w:color w:val="auto"/>
                <w:lang w:val="en-US"/>
              </w:rPr>
              <w:t>However, some units include some too general and basic concepts that should be substitute with more specific content. For example, Units 4 title does not match the actual content.</w:t>
            </w:r>
          </w:p>
          <w:p w14:paraId="598C3A82" w14:textId="77777777" w:rsidR="00BB427A" w:rsidRPr="00BB427A" w:rsidRDefault="00BB427A" w:rsidP="00BB427A">
            <w:pPr>
              <w:spacing w:after="0"/>
              <w:jc w:val="both"/>
              <w:rPr>
                <w:color w:val="auto"/>
                <w:sz w:val="20"/>
                <w:lang w:val="en-US"/>
              </w:rPr>
            </w:pPr>
          </w:p>
          <w:p w14:paraId="5E212B4E" w14:textId="6B8F5D86" w:rsidR="00BB427A" w:rsidRPr="00BB427A" w:rsidRDefault="00BB427A" w:rsidP="00BB427A">
            <w:pPr>
              <w:numPr>
                <w:ilvl w:val="0"/>
                <w:numId w:val="1"/>
              </w:numPr>
              <w:spacing w:after="0"/>
              <w:ind w:hanging="360"/>
              <w:rPr>
                <w:color w:val="auto"/>
              </w:rPr>
            </w:pPr>
            <w:proofErr w:type="spellStart"/>
            <w:r w:rsidRPr="00BB427A">
              <w:rPr>
                <w:i/>
                <w:color w:val="auto"/>
                <w:sz w:val="20"/>
              </w:rPr>
              <w:t>Strategies</w:t>
            </w:r>
            <w:proofErr w:type="spellEnd"/>
            <w:r w:rsidRPr="00BB427A">
              <w:rPr>
                <w:i/>
                <w:color w:val="auto"/>
                <w:sz w:val="20"/>
              </w:rPr>
              <w:t xml:space="preserve"> for improvement </w:t>
            </w:r>
          </w:p>
          <w:p w14:paraId="601ADF8D" w14:textId="77777777" w:rsidR="000507DB" w:rsidRPr="00C700DA" w:rsidRDefault="00D5349D" w:rsidP="00EE0702">
            <w:pPr>
              <w:spacing w:after="0"/>
              <w:rPr>
                <w:lang w:val="en-US"/>
              </w:rPr>
            </w:pPr>
            <w:r w:rsidRPr="00C700DA">
              <w:rPr>
                <w:lang w:val="en-US"/>
              </w:rPr>
              <w:t xml:space="preserve">Unit 4 </w:t>
            </w:r>
            <w:r w:rsidR="00EE0702" w:rsidRPr="00C700DA">
              <w:rPr>
                <w:lang w:val="en-US"/>
              </w:rPr>
              <w:t>should focus on more related methods for GIS-aided environmental design, such as overlay, multidimensional or spatial analysis, instead of covering very basic introduction of GIS.</w:t>
            </w:r>
          </w:p>
          <w:p w14:paraId="23EEDAC3" w14:textId="6229291B" w:rsidR="00C700DA" w:rsidRPr="00C700DA" w:rsidRDefault="00C700DA" w:rsidP="00EE0702">
            <w:pPr>
              <w:spacing w:after="0"/>
              <w:rPr>
                <w:lang w:val="en-US"/>
              </w:rPr>
            </w:pPr>
          </w:p>
        </w:tc>
      </w:tr>
      <w:tr w:rsidR="00826080" w:rsidRPr="00BB427A"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06C44" w:rsidRDefault="00EA2F9D">
            <w:pPr>
              <w:spacing w:after="0"/>
              <w:ind w:left="53"/>
              <w:rPr>
                <w:lang w:val="en-US"/>
              </w:rPr>
            </w:pPr>
            <w:r w:rsidRPr="00506C44">
              <w:rPr>
                <w:color w:val="002060"/>
                <w:sz w:val="20"/>
                <w:lang w:val="en-US"/>
              </w:rPr>
              <w:t xml:space="preserve">Quality criteria 2: Total number of credit units in the course is correct and appropriate </w:t>
            </w:r>
          </w:p>
        </w:tc>
      </w:tr>
      <w:tr w:rsidR="00826080" w:rsidRPr="00747FFC"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087FA4F5" w14:textId="7AFAA0F0" w:rsidR="00826080" w:rsidRPr="00747FFC" w:rsidRDefault="00EA2F9D">
            <w:pPr>
              <w:numPr>
                <w:ilvl w:val="0"/>
                <w:numId w:val="2"/>
              </w:numPr>
              <w:spacing w:after="0"/>
              <w:ind w:hanging="360"/>
            </w:pPr>
            <w:r w:rsidRPr="00747FFC">
              <w:rPr>
                <w:i/>
                <w:sz w:val="20"/>
              </w:rPr>
              <w:t xml:space="preserve">Evaluation </w:t>
            </w:r>
            <w:r w:rsidR="00C700DA" w:rsidRPr="00747FFC">
              <w:rPr>
                <w:i/>
                <w:sz w:val="20"/>
              </w:rPr>
              <w:t xml:space="preserve"> and </w:t>
            </w:r>
            <w:proofErr w:type="spellStart"/>
            <w:r w:rsidR="00C700DA" w:rsidRPr="00747FFC">
              <w:rPr>
                <w:i/>
                <w:sz w:val="20"/>
              </w:rPr>
              <w:t>Strategies</w:t>
            </w:r>
            <w:proofErr w:type="spellEnd"/>
            <w:r w:rsidR="00C700DA" w:rsidRPr="00747FFC">
              <w:rPr>
                <w:i/>
                <w:sz w:val="20"/>
              </w:rPr>
              <w:t xml:space="preserve"> for improvement  </w:t>
            </w:r>
          </w:p>
          <w:p w14:paraId="3EBFB9C0" w14:textId="6AADF856" w:rsidR="008F1A1A" w:rsidRDefault="008F1A1A" w:rsidP="008F1A1A">
            <w:pPr>
              <w:spacing w:after="22"/>
              <w:ind w:left="53"/>
              <w:rPr>
                <w:rStyle w:val="jlqj4b"/>
                <w:highlight w:val="yellow"/>
                <w:lang w:val="en"/>
              </w:rPr>
            </w:pPr>
          </w:p>
          <w:p w14:paraId="1FA24FB7" w14:textId="7BFD18E3" w:rsidR="00C700DA" w:rsidRDefault="00C700DA" w:rsidP="008F1A1A">
            <w:pPr>
              <w:spacing w:after="22"/>
              <w:ind w:left="53"/>
              <w:rPr>
                <w:rStyle w:val="jlqj4b"/>
                <w:lang w:val="en"/>
              </w:rPr>
            </w:pPr>
            <w:r w:rsidRPr="00C700DA">
              <w:rPr>
                <w:rStyle w:val="jlqj4b"/>
                <w:lang w:val="en"/>
              </w:rPr>
              <w:t>The number of ECTS i</w:t>
            </w:r>
            <w:r>
              <w:rPr>
                <w:rStyle w:val="jlqj4b"/>
                <w:lang w:val="en"/>
              </w:rPr>
              <w:t>s</w:t>
            </w:r>
            <w:r w:rsidRPr="00C700DA">
              <w:rPr>
                <w:rStyle w:val="jlqj4b"/>
                <w:lang w:val="en"/>
              </w:rPr>
              <w:t xml:space="preserve"> appropriate (</w:t>
            </w:r>
            <w:r>
              <w:rPr>
                <w:rStyle w:val="jlqj4b"/>
                <w:lang w:val="en"/>
              </w:rPr>
              <w:t>2</w:t>
            </w:r>
            <w:r w:rsidRPr="00C700DA">
              <w:rPr>
                <w:rStyle w:val="jlqj4b"/>
                <w:lang w:val="en"/>
              </w:rPr>
              <w:t xml:space="preserve"> ECTS)</w:t>
            </w:r>
            <w:r>
              <w:rPr>
                <w:rStyle w:val="jlqj4b"/>
                <w:lang w:val="en"/>
              </w:rPr>
              <w:t>, but the workload for the independent work should be increased, especially if students are required to complete a project assignment at the end of the course.</w:t>
            </w:r>
          </w:p>
          <w:p w14:paraId="0A87D66A" w14:textId="77777777" w:rsidR="00C700DA" w:rsidRPr="00C97A77" w:rsidRDefault="00C700DA" w:rsidP="008F1A1A">
            <w:pPr>
              <w:spacing w:after="22"/>
              <w:ind w:left="53"/>
              <w:rPr>
                <w:rStyle w:val="jlqj4b"/>
                <w:highlight w:val="yellow"/>
                <w:lang w:val="en"/>
              </w:rPr>
            </w:pPr>
          </w:p>
          <w:p w14:paraId="7791CF35" w14:textId="5D91E8A4" w:rsidR="00FC0CC1" w:rsidRPr="00225F33" w:rsidRDefault="00FC0CC1" w:rsidP="00C700DA">
            <w:pPr>
              <w:spacing w:after="22"/>
              <w:rPr>
                <w:lang w:val="en-US"/>
              </w:rPr>
            </w:pPr>
          </w:p>
        </w:tc>
      </w:tr>
      <w:tr w:rsidR="00826080" w:rsidRPr="00BB427A"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116B50"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555B50" w:rsidRDefault="00EA2F9D">
            <w:pPr>
              <w:numPr>
                <w:ilvl w:val="0"/>
                <w:numId w:val="3"/>
              </w:numPr>
              <w:spacing w:after="0"/>
              <w:ind w:hanging="360"/>
              <w:rPr>
                <w:color w:val="auto"/>
              </w:rPr>
            </w:pPr>
            <w:r w:rsidRPr="00555B50">
              <w:rPr>
                <w:i/>
                <w:color w:val="auto"/>
                <w:sz w:val="20"/>
              </w:rPr>
              <w:t xml:space="preserve">Evaluation </w:t>
            </w:r>
          </w:p>
          <w:p w14:paraId="1F3170B1" w14:textId="220E1D50" w:rsidR="00826080" w:rsidRPr="006D5716" w:rsidRDefault="00EA2F9D">
            <w:pPr>
              <w:spacing w:after="43"/>
              <w:ind w:right="45"/>
              <w:jc w:val="both"/>
              <w:rPr>
                <w:iCs/>
                <w:color w:val="auto"/>
                <w:lang w:val="en-US"/>
              </w:rPr>
            </w:pPr>
            <w:r w:rsidRPr="006D5716">
              <w:rPr>
                <w:iCs/>
                <w:color w:val="auto"/>
                <w:lang w:val="en-US"/>
              </w:rPr>
              <w:t>Th</w:t>
            </w:r>
            <w:r w:rsidR="008A0253" w:rsidRPr="006D5716">
              <w:rPr>
                <w:iCs/>
                <w:color w:val="auto"/>
                <w:lang w:val="en-US"/>
              </w:rPr>
              <w:t xml:space="preserve">e </w:t>
            </w:r>
            <w:r w:rsidR="006D5716" w:rsidRPr="006D5716">
              <w:rPr>
                <w:iCs/>
                <w:color w:val="auto"/>
                <w:lang w:val="en-US"/>
              </w:rPr>
              <w:t xml:space="preserve">new </w:t>
            </w:r>
            <w:r w:rsidR="008A0253" w:rsidRPr="006D5716">
              <w:rPr>
                <w:iCs/>
                <w:color w:val="auto"/>
                <w:lang w:val="en-US"/>
              </w:rPr>
              <w:t xml:space="preserve">course </w:t>
            </w:r>
            <w:r w:rsidR="006D5716" w:rsidRPr="006D5716">
              <w:rPr>
                <w:iCs/>
                <w:color w:val="auto"/>
                <w:lang w:val="en-US"/>
              </w:rPr>
              <w:t xml:space="preserve">is elective and designed for </w:t>
            </w:r>
            <w:r w:rsidR="00AC4911">
              <w:rPr>
                <w:iCs/>
                <w:color w:val="auto"/>
                <w:lang w:val="en-US"/>
              </w:rPr>
              <w:t xml:space="preserve">bachelor </w:t>
            </w:r>
            <w:r w:rsidR="006D5716" w:rsidRPr="006D5716">
              <w:rPr>
                <w:iCs/>
                <w:color w:val="auto"/>
                <w:lang w:val="en-US"/>
              </w:rPr>
              <w:t>students</w:t>
            </w:r>
            <w:r w:rsidR="000775C4" w:rsidRPr="006D5716">
              <w:rPr>
                <w:iCs/>
                <w:color w:val="auto"/>
                <w:lang w:val="en-US"/>
              </w:rPr>
              <w:t xml:space="preserve">. </w:t>
            </w:r>
            <w:r w:rsidR="006D5716" w:rsidRPr="006D5716">
              <w:rPr>
                <w:iCs/>
                <w:color w:val="auto"/>
                <w:lang w:val="en-US"/>
              </w:rPr>
              <w:t xml:space="preserve">The positioning is </w:t>
            </w:r>
            <w:r w:rsidR="00116B50">
              <w:rPr>
                <w:iCs/>
                <w:color w:val="auto"/>
                <w:lang w:val="en-US"/>
              </w:rPr>
              <w:t>appropriate in the curricula</w:t>
            </w:r>
            <w:r w:rsidR="00AC4911">
              <w:rPr>
                <w:iCs/>
                <w:color w:val="auto"/>
                <w:lang w:val="en-US"/>
              </w:rPr>
              <w:t>.</w:t>
            </w:r>
          </w:p>
          <w:p w14:paraId="1FAFBA96" w14:textId="77777777" w:rsidR="00C4055A" w:rsidRPr="00555B50" w:rsidRDefault="00C4055A" w:rsidP="00C4055A">
            <w:pPr>
              <w:spacing w:after="0"/>
              <w:ind w:left="360"/>
              <w:rPr>
                <w:color w:val="auto"/>
                <w:lang w:val="en-US"/>
              </w:rPr>
            </w:pPr>
          </w:p>
          <w:p w14:paraId="46BD0A98" w14:textId="6EDFEDB9" w:rsidR="00826080" w:rsidRPr="00555B50" w:rsidRDefault="00EA2F9D">
            <w:pPr>
              <w:numPr>
                <w:ilvl w:val="0"/>
                <w:numId w:val="3"/>
              </w:numPr>
              <w:spacing w:after="0"/>
              <w:ind w:hanging="360"/>
              <w:rPr>
                <w:color w:val="auto"/>
              </w:rPr>
            </w:pPr>
            <w:proofErr w:type="spellStart"/>
            <w:r w:rsidRPr="00555B50">
              <w:rPr>
                <w:i/>
                <w:color w:val="auto"/>
                <w:sz w:val="20"/>
              </w:rPr>
              <w:t>Strategies</w:t>
            </w:r>
            <w:proofErr w:type="spellEnd"/>
            <w:r w:rsidRPr="00555B50">
              <w:rPr>
                <w:i/>
                <w:color w:val="auto"/>
                <w:sz w:val="20"/>
              </w:rPr>
              <w:t xml:space="preserve"> for improvement </w:t>
            </w:r>
          </w:p>
          <w:p w14:paraId="5D4C5052" w14:textId="019F0C05" w:rsidR="00826080" w:rsidRPr="00F1565E" w:rsidRDefault="00116B50">
            <w:pPr>
              <w:spacing w:after="0"/>
              <w:ind w:left="53" w:right="50"/>
              <w:jc w:val="both"/>
              <w:rPr>
                <w:color w:val="FF0000"/>
                <w:lang w:val="en-US"/>
              </w:rPr>
            </w:pPr>
            <w:r>
              <w:rPr>
                <w:color w:val="auto"/>
                <w:lang w:val="en-US"/>
              </w:rPr>
              <w:t>No strategies are required</w:t>
            </w:r>
          </w:p>
        </w:tc>
      </w:tr>
      <w:tr w:rsidR="00F1565E" w:rsidRPr="00BB427A"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BB427A"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555B50" w:rsidRDefault="00A05ACD" w:rsidP="00A05ACD">
            <w:pPr>
              <w:numPr>
                <w:ilvl w:val="0"/>
                <w:numId w:val="3"/>
              </w:numPr>
              <w:spacing w:after="0"/>
              <w:ind w:hanging="360"/>
              <w:rPr>
                <w:color w:val="auto"/>
              </w:rPr>
            </w:pPr>
            <w:r w:rsidRPr="00555B50">
              <w:rPr>
                <w:i/>
                <w:color w:val="auto"/>
                <w:sz w:val="20"/>
              </w:rPr>
              <w:lastRenderedPageBreak/>
              <w:t xml:space="preserve">Evaluation </w:t>
            </w:r>
          </w:p>
          <w:p w14:paraId="3BAC637A" w14:textId="1B5CF31C" w:rsidR="008A4C07" w:rsidRPr="00A8511F" w:rsidRDefault="006D5716" w:rsidP="00A05ACD">
            <w:pPr>
              <w:spacing w:after="43"/>
              <w:ind w:right="45"/>
              <w:jc w:val="both"/>
              <w:rPr>
                <w:color w:val="auto"/>
                <w:lang w:val="en-US"/>
              </w:rPr>
            </w:pPr>
            <w:r w:rsidRPr="00A8511F">
              <w:rPr>
                <w:color w:val="auto"/>
                <w:lang w:val="en-US"/>
              </w:rPr>
              <w:t xml:space="preserve">Progress and final assessments are described in details and suitable to support skills and knowledge achievements. </w:t>
            </w:r>
            <w:r w:rsidR="00C513AB" w:rsidRPr="00A8511F">
              <w:rPr>
                <w:color w:val="auto"/>
                <w:lang w:val="en-US"/>
              </w:rPr>
              <w:t xml:space="preserve">However, the assessment criteria </w:t>
            </w:r>
            <w:r w:rsidR="00A8511F" w:rsidRPr="00A8511F">
              <w:rPr>
                <w:color w:val="auto"/>
                <w:lang w:val="en-US"/>
              </w:rPr>
              <w:t xml:space="preserve">listed in the table </w:t>
            </w:r>
            <w:r w:rsidR="00C513AB" w:rsidRPr="00A8511F">
              <w:rPr>
                <w:color w:val="auto"/>
                <w:lang w:val="en-US"/>
              </w:rPr>
              <w:t xml:space="preserve">of </w:t>
            </w:r>
            <w:r w:rsidR="00A8511F" w:rsidRPr="00A8511F">
              <w:rPr>
                <w:color w:val="auto"/>
                <w:lang w:val="en-US"/>
              </w:rPr>
              <w:t xml:space="preserve">course workload distribution </w:t>
            </w:r>
            <w:r w:rsidR="00C513AB" w:rsidRPr="00A8511F">
              <w:rPr>
                <w:color w:val="auto"/>
                <w:lang w:val="en-US"/>
              </w:rPr>
              <w:t>are not explicitly related to the grading-assessment-evaluation system</w:t>
            </w:r>
            <w:r w:rsidR="00A8511F" w:rsidRPr="00A8511F">
              <w:rPr>
                <w:color w:val="auto"/>
                <w:lang w:val="en-US"/>
              </w:rPr>
              <w:t xml:space="preserve"> for all activities</w:t>
            </w:r>
            <w:r w:rsidR="00C513AB" w:rsidRPr="00A8511F">
              <w:rPr>
                <w:color w:val="auto"/>
                <w:lang w:val="en-US"/>
              </w:rPr>
              <w:t>.</w:t>
            </w:r>
          </w:p>
          <w:p w14:paraId="28EC46AF" w14:textId="77777777" w:rsidR="0043613F" w:rsidRPr="00555B50" w:rsidRDefault="0043613F" w:rsidP="00A05ACD">
            <w:pPr>
              <w:spacing w:after="43"/>
              <w:ind w:right="45"/>
              <w:jc w:val="both"/>
              <w:rPr>
                <w:color w:val="auto"/>
                <w:lang w:val="en-US"/>
              </w:rPr>
            </w:pPr>
          </w:p>
          <w:p w14:paraId="11E9C54E" w14:textId="2113A790" w:rsidR="00A05ACD" w:rsidRPr="00555B50" w:rsidRDefault="00A05ACD" w:rsidP="00A05ACD">
            <w:pPr>
              <w:numPr>
                <w:ilvl w:val="0"/>
                <w:numId w:val="3"/>
              </w:numPr>
              <w:spacing w:after="0"/>
              <w:ind w:hanging="360"/>
              <w:rPr>
                <w:color w:val="auto"/>
                <w:lang w:val="en-US"/>
              </w:rPr>
            </w:pPr>
            <w:r w:rsidRPr="00555B50">
              <w:rPr>
                <w:i/>
                <w:color w:val="auto"/>
                <w:sz w:val="20"/>
                <w:lang w:val="en-US"/>
              </w:rPr>
              <w:t xml:space="preserve">Strategies for improvement </w:t>
            </w:r>
          </w:p>
          <w:p w14:paraId="60AFA050" w14:textId="75ADAA22" w:rsidR="00C513AB" w:rsidRPr="00A8511F" w:rsidRDefault="00A8511F" w:rsidP="00A05ACD">
            <w:pPr>
              <w:spacing w:after="43"/>
              <w:ind w:right="45"/>
              <w:jc w:val="both"/>
              <w:rPr>
                <w:color w:val="auto"/>
                <w:lang w:val="en-US"/>
              </w:rPr>
            </w:pPr>
            <w:r>
              <w:rPr>
                <w:color w:val="auto"/>
                <w:lang w:val="en-US"/>
              </w:rPr>
              <w:t>Assessment criteria for in-class activities could be combined to the progress assessment and included in the grading system</w:t>
            </w:r>
          </w:p>
          <w:p w14:paraId="049C35FA" w14:textId="2C840B3B" w:rsidR="00621F34" w:rsidRPr="00F1565E" w:rsidRDefault="006D5716" w:rsidP="00A05ACD">
            <w:pPr>
              <w:spacing w:after="43"/>
              <w:ind w:right="45"/>
              <w:jc w:val="both"/>
              <w:rPr>
                <w:color w:val="FF0000"/>
                <w:lang w:val="en-US"/>
              </w:rPr>
            </w:pPr>
            <w:r w:rsidRPr="00A8511F">
              <w:rPr>
                <w:color w:val="auto"/>
                <w:lang w:val="en-US"/>
              </w:rPr>
              <w:t>The grading system of evaluation might consider to set the level C (passing mark)</w:t>
            </w:r>
            <w:r w:rsidR="001606D5" w:rsidRPr="00A8511F">
              <w:rPr>
                <w:color w:val="auto"/>
                <w:lang w:val="en-US"/>
              </w:rPr>
              <w:t xml:space="preserve"> </w:t>
            </w:r>
            <w:r w:rsidRPr="00A8511F">
              <w:rPr>
                <w:color w:val="auto"/>
                <w:lang w:val="en-US"/>
              </w:rPr>
              <w:t>at 6 and not at 5.</w:t>
            </w:r>
          </w:p>
        </w:tc>
      </w:tr>
    </w:tbl>
    <w:p w14:paraId="34A60577" w14:textId="77777777" w:rsidR="007A4578" w:rsidRPr="00863422" w:rsidRDefault="00EA2F9D">
      <w:pPr>
        <w:spacing w:after="0"/>
        <w:rPr>
          <w:color w:val="auto"/>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BB427A"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F656D3"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1A7844" w:rsidRDefault="007A4578" w:rsidP="007A4578">
            <w:pPr>
              <w:numPr>
                <w:ilvl w:val="0"/>
                <w:numId w:val="3"/>
              </w:numPr>
              <w:spacing w:after="0"/>
              <w:ind w:hanging="360"/>
              <w:rPr>
                <w:i/>
                <w:color w:val="auto"/>
                <w:sz w:val="20"/>
              </w:rPr>
            </w:pPr>
            <w:r w:rsidRPr="001A7844">
              <w:rPr>
                <w:i/>
                <w:color w:val="auto"/>
                <w:sz w:val="20"/>
              </w:rPr>
              <w:t>Evaluation</w:t>
            </w:r>
          </w:p>
          <w:p w14:paraId="643AC96E" w14:textId="01A5C8E1" w:rsidR="007321D4" w:rsidRPr="001A7844" w:rsidRDefault="00661704" w:rsidP="007A4578">
            <w:pPr>
              <w:spacing w:after="43"/>
              <w:ind w:right="45"/>
              <w:jc w:val="both"/>
              <w:rPr>
                <w:color w:val="auto"/>
                <w:lang w:val="en-US"/>
              </w:rPr>
            </w:pPr>
            <w:r w:rsidRPr="001A7844">
              <w:rPr>
                <w:color w:val="auto"/>
                <w:lang w:val="en-US"/>
              </w:rPr>
              <w:t xml:space="preserve">Teaching </w:t>
            </w:r>
            <w:r w:rsidR="007321D4" w:rsidRPr="001A7844">
              <w:rPr>
                <w:color w:val="auto"/>
                <w:lang w:val="en-US"/>
              </w:rPr>
              <w:t>methods are not detailed.</w:t>
            </w:r>
          </w:p>
          <w:p w14:paraId="75C2E02C" w14:textId="35EFFF51" w:rsidR="001A7844" w:rsidRDefault="007321D4" w:rsidP="001A7844">
            <w:pPr>
              <w:spacing w:after="43"/>
              <w:ind w:right="45"/>
              <w:jc w:val="both"/>
              <w:rPr>
                <w:color w:val="auto"/>
                <w:lang w:val="en-US"/>
              </w:rPr>
            </w:pPr>
            <w:r w:rsidRPr="001A7844">
              <w:rPr>
                <w:color w:val="auto"/>
                <w:lang w:val="en-US"/>
              </w:rPr>
              <w:t>L</w:t>
            </w:r>
            <w:r w:rsidR="00154C33" w:rsidRPr="001A7844">
              <w:rPr>
                <w:color w:val="auto"/>
                <w:lang w:val="en-US"/>
              </w:rPr>
              <w:t>earning methods are</w:t>
            </w:r>
            <w:r w:rsidR="001A7844" w:rsidRPr="001A7844">
              <w:rPr>
                <w:color w:val="auto"/>
                <w:lang w:val="en-US"/>
              </w:rPr>
              <w:t xml:space="preserve"> </w:t>
            </w:r>
            <w:r w:rsidRPr="001A7844">
              <w:rPr>
                <w:color w:val="auto"/>
                <w:lang w:val="en-US"/>
              </w:rPr>
              <w:t>various</w:t>
            </w:r>
            <w:r w:rsidR="001A7844" w:rsidRPr="001A7844">
              <w:rPr>
                <w:color w:val="auto"/>
                <w:lang w:val="en-US"/>
              </w:rPr>
              <w:t xml:space="preserve"> and proper to the achievement of learning outcomes.</w:t>
            </w:r>
          </w:p>
          <w:p w14:paraId="01ECF9B6" w14:textId="1E6908D7" w:rsidR="00897CC7" w:rsidRDefault="00897CC7" w:rsidP="00897CC7">
            <w:pPr>
              <w:spacing w:after="43"/>
              <w:ind w:right="45"/>
              <w:jc w:val="both"/>
              <w:rPr>
                <w:color w:val="auto"/>
                <w:lang w:val="en-US"/>
              </w:rPr>
            </w:pPr>
            <w:r>
              <w:rPr>
                <w:color w:val="auto"/>
                <w:lang w:val="en-US"/>
              </w:rPr>
              <w:t>Prerequisites are not required which is unsuitable for such a kind of course.</w:t>
            </w:r>
          </w:p>
          <w:p w14:paraId="7DCC55DB" w14:textId="2306A2E1" w:rsidR="00C46F9C" w:rsidRDefault="00C46F9C" w:rsidP="00C46F9C">
            <w:pPr>
              <w:spacing w:after="43"/>
              <w:ind w:right="45"/>
              <w:jc w:val="both"/>
              <w:rPr>
                <w:color w:val="auto"/>
                <w:lang w:val="en-US"/>
              </w:rPr>
            </w:pPr>
            <w:r>
              <w:rPr>
                <w:color w:val="auto"/>
                <w:lang w:val="en-US"/>
              </w:rPr>
              <w:t>The suggested references properly include fundamental readings, though quite dated</w:t>
            </w:r>
          </w:p>
          <w:p w14:paraId="3E84E065" w14:textId="48D711A2" w:rsidR="00373CC9" w:rsidRDefault="00373CC9" w:rsidP="00897CC7">
            <w:pPr>
              <w:spacing w:after="43"/>
              <w:ind w:right="45"/>
              <w:jc w:val="both"/>
              <w:rPr>
                <w:color w:val="auto"/>
                <w:lang w:val="en-US"/>
              </w:rPr>
            </w:pPr>
          </w:p>
          <w:p w14:paraId="5C49CBA2" w14:textId="4A0A22FC" w:rsidR="007A4578" w:rsidRPr="00897CC7" w:rsidRDefault="007A4578" w:rsidP="00897CC7">
            <w:pPr>
              <w:numPr>
                <w:ilvl w:val="0"/>
                <w:numId w:val="3"/>
              </w:numPr>
              <w:spacing w:after="0"/>
              <w:ind w:hanging="360"/>
              <w:rPr>
                <w:i/>
                <w:color w:val="auto"/>
                <w:sz w:val="20"/>
                <w:lang w:val="en-US"/>
              </w:rPr>
            </w:pPr>
            <w:r w:rsidRPr="00897CC7">
              <w:rPr>
                <w:i/>
                <w:color w:val="auto"/>
                <w:sz w:val="20"/>
                <w:lang w:val="en-US"/>
              </w:rPr>
              <w:t>Strategies for improvement</w:t>
            </w:r>
          </w:p>
          <w:p w14:paraId="2F7F04FE" w14:textId="77777777" w:rsidR="00B74574" w:rsidRDefault="007321D4" w:rsidP="007321D4">
            <w:pPr>
              <w:spacing w:after="43"/>
              <w:ind w:right="45"/>
              <w:jc w:val="both"/>
              <w:rPr>
                <w:color w:val="auto"/>
                <w:lang w:val="en-US"/>
              </w:rPr>
            </w:pPr>
            <w:r w:rsidRPr="001A7844">
              <w:rPr>
                <w:color w:val="auto"/>
                <w:lang w:val="en-US"/>
              </w:rPr>
              <w:t>The syllabus could better highlight the teaching methods used with regard to the different section of the course outline</w:t>
            </w:r>
            <w:r w:rsidR="00897CC7">
              <w:rPr>
                <w:color w:val="auto"/>
                <w:lang w:val="en-US"/>
              </w:rPr>
              <w:t>.</w:t>
            </w:r>
          </w:p>
          <w:p w14:paraId="12FAF46A" w14:textId="77777777" w:rsidR="00897CC7" w:rsidRDefault="00897CC7" w:rsidP="007321D4">
            <w:pPr>
              <w:spacing w:after="43"/>
              <w:ind w:right="45"/>
              <w:jc w:val="both"/>
              <w:rPr>
                <w:color w:val="auto"/>
                <w:lang w:val="en-US"/>
              </w:rPr>
            </w:pPr>
            <w:r>
              <w:rPr>
                <w:color w:val="auto"/>
                <w:lang w:val="en-US"/>
              </w:rPr>
              <w:t>The course should require some Prerequisites related to the achievement of competences and general knowledge on technical drawing and representation</w:t>
            </w:r>
          </w:p>
          <w:p w14:paraId="4D1EE828" w14:textId="6DEA0DCD" w:rsidR="001369E2" w:rsidRDefault="001369E2" w:rsidP="007321D4">
            <w:pPr>
              <w:spacing w:after="43"/>
              <w:ind w:right="45"/>
              <w:jc w:val="both"/>
              <w:rPr>
                <w:color w:val="auto"/>
                <w:lang w:val="en-US"/>
              </w:rPr>
            </w:pPr>
            <w:r>
              <w:rPr>
                <w:color w:val="auto"/>
                <w:lang w:val="en-US"/>
              </w:rPr>
              <w:t xml:space="preserve">The list of references </w:t>
            </w:r>
            <w:r w:rsidR="00C46F9C">
              <w:rPr>
                <w:color w:val="auto"/>
                <w:lang w:val="en-US"/>
              </w:rPr>
              <w:t>might</w:t>
            </w:r>
            <w:r>
              <w:rPr>
                <w:color w:val="auto"/>
                <w:lang w:val="en-US"/>
              </w:rPr>
              <w:t xml:space="preserve"> include some topical reading</w:t>
            </w:r>
            <w:r w:rsidR="00C46F9C">
              <w:rPr>
                <w:color w:val="auto"/>
                <w:lang w:val="en-US"/>
              </w:rPr>
              <w:t>s</w:t>
            </w:r>
            <w:r w:rsidR="00445A80">
              <w:rPr>
                <w:color w:val="auto"/>
                <w:lang w:val="en-US"/>
              </w:rPr>
              <w:t>. Take for example:</w:t>
            </w:r>
            <w:r>
              <w:rPr>
                <w:color w:val="auto"/>
                <w:lang w:val="en-US"/>
              </w:rPr>
              <w:t xml:space="preserve"> </w:t>
            </w:r>
          </w:p>
          <w:p w14:paraId="5EE47475" w14:textId="44A0ED0E" w:rsidR="00747FFC" w:rsidRDefault="00747FFC" w:rsidP="00A95D5B">
            <w:pPr>
              <w:spacing w:after="43"/>
              <w:ind w:right="45"/>
              <w:jc w:val="both"/>
              <w:rPr>
                <w:color w:val="auto"/>
                <w:lang w:val="en-US"/>
              </w:rPr>
            </w:pPr>
            <w:r>
              <w:rPr>
                <w:color w:val="auto"/>
                <w:lang w:val="en-US"/>
              </w:rPr>
              <w:t xml:space="preserve">- Mc </w:t>
            </w:r>
            <w:proofErr w:type="spellStart"/>
            <w:r>
              <w:rPr>
                <w:color w:val="auto"/>
                <w:lang w:val="en-US"/>
              </w:rPr>
              <w:t>Harg</w:t>
            </w:r>
            <w:proofErr w:type="spellEnd"/>
            <w:r>
              <w:rPr>
                <w:color w:val="auto"/>
                <w:lang w:val="en-US"/>
              </w:rPr>
              <w:t>, I, (1995), Design with Nature (25</w:t>
            </w:r>
            <w:r w:rsidRPr="00747FFC">
              <w:rPr>
                <w:color w:val="auto"/>
                <w:vertAlign w:val="superscript"/>
                <w:lang w:val="en-US"/>
              </w:rPr>
              <w:t>th</w:t>
            </w:r>
            <w:r>
              <w:rPr>
                <w:color w:val="auto"/>
                <w:lang w:val="en-US"/>
              </w:rPr>
              <w:t xml:space="preserve"> anniversary edition), John Wiley and sons, </w:t>
            </w:r>
            <w:r w:rsidRPr="00747FFC">
              <w:rPr>
                <w:color w:val="auto"/>
                <w:lang w:val="en-US"/>
              </w:rPr>
              <w:t>978-0471114604</w:t>
            </w:r>
            <w:r>
              <w:rPr>
                <w:color w:val="auto"/>
                <w:lang w:val="en-US"/>
              </w:rPr>
              <w:t xml:space="preserve">. </w:t>
            </w:r>
          </w:p>
          <w:p w14:paraId="797D8DF3" w14:textId="50D6E38D" w:rsidR="00A95D5B" w:rsidRDefault="00EC75B3" w:rsidP="00A95D5B">
            <w:pPr>
              <w:spacing w:after="43"/>
              <w:ind w:right="45"/>
              <w:jc w:val="both"/>
              <w:rPr>
                <w:color w:val="auto"/>
                <w:lang w:val="en-US"/>
              </w:rPr>
            </w:pPr>
            <w:r>
              <w:rPr>
                <w:color w:val="auto"/>
                <w:lang w:val="en-US"/>
              </w:rPr>
              <w:t>-</w:t>
            </w:r>
            <w:r w:rsidR="00A95D5B" w:rsidRPr="00A95D5B">
              <w:rPr>
                <w:color w:val="auto"/>
                <w:lang w:val="en-US"/>
              </w:rPr>
              <w:t>Spatial Tensions in Urban Design. (2021). SpringerLink.</w:t>
            </w:r>
            <w:bookmarkStart w:id="0" w:name="_GoBack"/>
            <w:bookmarkEnd w:id="0"/>
          </w:p>
          <w:p w14:paraId="32E34FCE" w14:textId="77777777" w:rsidR="00EC75B3" w:rsidRPr="00C0581F" w:rsidRDefault="00EC75B3" w:rsidP="00EC75B3">
            <w:pPr>
              <w:spacing w:after="43"/>
              <w:ind w:right="45"/>
              <w:jc w:val="both"/>
              <w:rPr>
                <w:color w:val="auto"/>
                <w:lang w:val="en-US"/>
              </w:rPr>
            </w:pPr>
            <w:r>
              <w:rPr>
                <w:color w:val="auto"/>
                <w:lang w:val="en-US"/>
              </w:rPr>
              <w:t>-</w:t>
            </w:r>
            <w:r w:rsidRPr="00C0581F">
              <w:rPr>
                <w:color w:val="auto"/>
                <w:lang w:val="en-US"/>
              </w:rPr>
              <w:t>Reed, Chris and Lister, Nina-Marie</w:t>
            </w:r>
            <w:r>
              <w:rPr>
                <w:color w:val="auto"/>
                <w:lang w:val="en-US"/>
              </w:rPr>
              <w:t xml:space="preserve"> (</w:t>
            </w:r>
            <w:r w:rsidRPr="00C0581F">
              <w:rPr>
                <w:color w:val="auto"/>
                <w:lang w:val="en-US"/>
              </w:rPr>
              <w:t>201</w:t>
            </w:r>
            <w:r>
              <w:rPr>
                <w:color w:val="auto"/>
                <w:lang w:val="en-US"/>
              </w:rPr>
              <w:t>4),</w:t>
            </w:r>
            <w:r w:rsidRPr="00C0581F">
              <w:rPr>
                <w:color w:val="auto"/>
                <w:lang w:val="en-US"/>
              </w:rPr>
              <w:t xml:space="preserve"> Projective Ecologies</w:t>
            </w:r>
            <w:r>
              <w:rPr>
                <w:color w:val="auto"/>
                <w:lang w:val="en-US"/>
              </w:rPr>
              <w:t xml:space="preserve">. </w:t>
            </w:r>
            <w:proofErr w:type="spellStart"/>
            <w:r w:rsidRPr="00C0581F">
              <w:rPr>
                <w:color w:val="auto"/>
                <w:lang w:val="en-US"/>
              </w:rPr>
              <w:t>Actar</w:t>
            </w:r>
            <w:proofErr w:type="spellEnd"/>
            <w:r w:rsidRPr="00C0581F">
              <w:rPr>
                <w:color w:val="auto"/>
                <w:lang w:val="en-US"/>
              </w:rPr>
              <w:t xml:space="preserve"> Publishers</w:t>
            </w:r>
          </w:p>
          <w:p w14:paraId="4FC8CC27" w14:textId="77777777" w:rsidR="001369E2" w:rsidRDefault="00EC75B3" w:rsidP="001369E2">
            <w:pPr>
              <w:spacing w:after="43"/>
              <w:ind w:right="45"/>
              <w:jc w:val="both"/>
              <w:rPr>
                <w:color w:val="auto"/>
                <w:lang w:val="en-US"/>
              </w:rPr>
            </w:pPr>
            <w:r>
              <w:rPr>
                <w:color w:val="auto"/>
                <w:lang w:val="en-US"/>
              </w:rPr>
              <w:t>-</w:t>
            </w:r>
            <w:r w:rsidR="001369E2" w:rsidRPr="001369E2">
              <w:rPr>
                <w:color w:val="auto"/>
                <w:lang w:val="en-US"/>
              </w:rPr>
              <w:t>Carmona, M. (2021). Public places urban spaces : the dimensions of urban design. New York: Routledge.</w:t>
            </w:r>
          </w:p>
          <w:p w14:paraId="4DCD1CCE" w14:textId="77777777" w:rsidR="00747FFC" w:rsidRDefault="00747FFC" w:rsidP="001369E2">
            <w:pPr>
              <w:spacing w:after="43"/>
              <w:ind w:right="45"/>
              <w:jc w:val="both"/>
              <w:rPr>
                <w:color w:val="auto"/>
                <w:lang w:val="en-US"/>
              </w:rPr>
            </w:pPr>
          </w:p>
          <w:p w14:paraId="1731A028" w14:textId="654CC922" w:rsidR="00747FFC" w:rsidRPr="004540A3" w:rsidRDefault="00747FFC" w:rsidP="001369E2">
            <w:pPr>
              <w:spacing w:after="43"/>
              <w:ind w:right="45"/>
              <w:jc w:val="both"/>
              <w:rPr>
                <w:color w:val="auto"/>
                <w:lang w:val="en-US"/>
              </w:rPr>
            </w:pP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BB427A"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65B1F037" w:rsidR="00697CD8" w:rsidRPr="00555B50" w:rsidRDefault="00697CD8" w:rsidP="00E46CC8">
            <w:pPr>
              <w:spacing w:after="43"/>
              <w:ind w:right="45"/>
              <w:rPr>
                <w:color w:val="auto"/>
                <w:lang w:val="en-US"/>
              </w:rPr>
            </w:pPr>
            <w:r w:rsidRPr="00555B50">
              <w:rPr>
                <w:color w:val="auto"/>
                <w:lang w:val="en-US"/>
              </w:rPr>
              <w:t>Theory and practice-oriented</w:t>
            </w:r>
            <w:r w:rsidR="000A4568">
              <w:rPr>
                <w:color w:val="auto"/>
                <w:lang w:val="en-US"/>
              </w:rPr>
              <w:t xml:space="preserve"> components</w:t>
            </w:r>
            <w:r w:rsidRPr="00555B50">
              <w:rPr>
                <w:color w:val="auto"/>
                <w:lang w:val="en-US"/>
              </w:rPr>
              <w:t xml:space="preserve"> </w:t>
            </w:r>
            <w:r w:rsidR="00C93A5E" w:rsidRPr="00555B50">
              <w:rPr>
                <w:color w:val="auto"/>
                <w:lang w:val="en-US"/>
              </w:rPr>
              <w:t xml:space="preserve">are </w:t>
            </w:r>
            <w:r w:rsidR="00F67E02">
              <w:rPr>
                <w:color w:val="auto"/>
                <w:lang w:val="en-US"/>
              </w:rPr>
              <w:t xml:space="preserve">properly weighted </w:t>
            </w:r>
            <w:r w:rsidR="00555B50" w:rsidRPr="00555B50">
              <w:rPr>
                <w:color w:val="auto"/>
                <w:lang w:val="en-US"/>
              </w:rPr>
              <w:t xml:space="preserve">in terms of learning hours </w:t>
            </w:r>
            <w:r w:rsidR="00F67E02">
              <w:rPr>
                <w:color w:val="auto"/>
                <w:lang w:val="en-US"/>
              </w:rPr>
              <w:t xml:space="preserve">based on the course content </w:t>
            </w:r>
            <w:r w:rsidR="00555B50" w:rsidRPr="00555B50">
              <w:rPr>
                <w:color w:val="auto"/>
                <w:lang w:val="en-US"/>
              </w:rPr>
              <w:t>and</w:t>
            </w:r>
            <w:r w:rsidRPr="00555B50">
              <w:rPr>
                <w:color w:val="auto"/>
                <w:lang w:val="en-US"/>
              </w:rPr>
              <w:t xml:space="preserve"> well connected </w:t>
            </w:r>
            <w:r w:rsidR="00E46CC8" w:rsidRPr="00555B50">
              <w:rPr>
                <w:color w:val="auto"/>
                <w:lang w:val="en-US"/>
              </w:rPr>
              <w:t xml:space="preserve">to </w:t>
            </w:r>
            <w:r w:rsidRPr="00555B50">
              <w:rPr>
                <w:color w:val="auto"/>
                <w:lang w:val="en-US"/>
              </w:rPr>
              <w:t>learning outcomes and target skills</w:t>
            </w:r>
            <w:r w:rsidR="00555B50" w:rsidRPr="00555B50">
              <w:rPr>
                <w:color w:val="auto"/>
                <w:lang w:val="en-US"/>
              </w:rPr>
              <w:t>.</w:t>
            </w: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3244B3B5" w:rsidR="00697CD8" w:rsidRPr="00555B50" w:rsidRDefault="00863422" w:rsidP="00697CD8">
            <w:pPr>
              <w:spacing w:after="43"/>
              <w:ind w:right="45"/>
              <w:jc w:val="both"/>
              <w:rPr>
                <w:color w:val="auto"/>
                <w:lang w:val="en-US"/>
              </w:rPr>
            </w:pPr>
            <w:r>
              <w:rPr>
                <w:color w:val="auto"/>
                <w:lang w:val="en-US"/>
              </w:rPr>
              <w:t>No additional strategies are required</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7"/>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3530" w14:textId="77777777" w:rsidR="00A50C17" w:rsidRDefault="00A50C17">
      <w:pPr>
        <w:spacing w:after="0"/>
      </w:pPr>
      <w:r>
        <w:separator/>
      </w:r>
    </w:p>
  </w:endnote>
  <w:endnote w:type="continuationSeparator" w:id="0">
    <w:p w14:paraId="7B031694" w14:textId="77777777" w:rsidR="00A50C17" w:rsidRDefault="00A50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01BF" w14:textId="77777777" w:rsidR="00A50C17" w:rsidRDefault="00A50C17">
      <w:pPr>
        <w:spacing w:after="0"/>
      </w:pPr>
      <w:r>
        <w:separator/>
      </w:r>
    </w:p>
  </w:footnote>
  <w:footnote w:type="continuationSeparator" w:id="0">
    <w:p w14:paraId="60875CD8" w14:textId="77777777" w:rsidR="00A50C17" w:rsidRDefault="00A50C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353899CB"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BB427A" w:rsidRPr="00A93E13">
      <w:rPr>
        <w:noProof/>
      </w:rPr>
      <w:drawing>
        <wp:inline distT="0" distB="0" distL="0" distR="0" wp14:anchorId="5770D7F6" wp14:editId="1F19E2B1">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75C4"/>
    <w:rsid w:val="000A0E66"/>
    <w:rsid w:val="000A3A2B"/>
    <w:rsid w:val="000A4568"/>
    <w:rsid w:val="000C0344"/>
    <w:rsid w:val="000E011F"/>
    <w:rsid w:val="000E3D1A"/>
    <w:rsid w:val="000F7977"/>
    <w:rsid w:val="00116717"/>
    <w:rsid w:val="00116B50"/>
    <w:rsid w:val="00130B69"/>
    <w:rsid w:val="001369E2"/>
    <w:rsid w:val="00142E6B"/>
    <w:rsid w:val="00145D24"/>
    <w:rsid w:val="001516EC"/>
    <w:rsid w:val="00154C33"/>
    <w:rsid w:val="00154E94"/>
    <w:rsid w:val="001606D5"/>
    <w:rsid w:val="00161913"/>
    <w:rsid w:val="001750EC"/>
    <w:rsid w:val="00176D9C"/>
    <w:rsid w:val="00177427"/>
    <w:rsid w:val="00183B00"/>
    <w:rsid w:val="0019762D"/>
    <w:rsid w:val="001A4D8F"/>
    <w:rsid w:val="001A6985"/>
    <w:rsid w:val="001A7844"/>
    <w:rsid w:val="001A79A8"/>
    <w:rsid w:val="001B2234"/>
    <w:rsid w:val="001B41BC"/>
    <w:rsid w:val="001C1320"/>
    <w:rsid w:val="001D2023"/>
    <w:rsid w:val="001D3441"/>
    <w:rsid w:val="001D70C6"/>
    <w:rsid w:val="001E7A28"/>
    <w:rsid w:val="00200937"/>
    <w:rsid w:val="00205113"/>
    <w:rsid w:val="00217A54"/>
    <w:rsid w:val="00224898"/>
    <w:rsid w:val="00225F33"/>
    <w:rsid w:val="00250701"/>
    <w:rsid w:val="00252987"/>
    <w:rsid w:val="00280723"/>
    <w:rsid w:val="0029036A"/>
    <w:rsid w:val="00295C9A"/>
    <w:rsid w:val="002B03AE"/>
    <w:rsid w:val="002C1148"/>
    <w:rsid w:val="002C2844"/>
    <w:rsid w:val="002D712F"/>
    <w:rsid w:val="002E1395"/>
    <w:rsid w:val="002F0333"/>
    <w:rsid w:val="00302436"/>
    <w:rsid w:val="00340A6A"/>
    <w:rsid w:val="00345920"/>
    <w:rsid w:val="00347CDC"/>
    <w:rsid w:val="00367411"/>
    <w:rsid w:val="00373CC9"/>
    <w:rsid w:val="00374E86"/>
    <w:rsid w:val="00382381"/>
    <w:rsid w:val="00387063"/>
    <w:rsid w:val="003A6F26"/>
    <w:rsid w:val="0040284F"/>
    <w:rsid w:val="00403F7B"/>
    <w:rsid w:val="004044F0"/>
    <w:rsid w:val="00410E19"/>
    <w:rsid w:val="0041371D"/>
    <w:rsid w:val="004210E8"/>
    <w:rsid w:val="0043613F"/>
    <w:rsid w:val="00445122"/>
    <w:rsid w:val="00445A80"/>
    <w:rsid w:val="004540A3"/>
    <w:rsid w:val="004713CA"/>
    <w:rsid w:val="00484B4D"/>
    <w:rsid w:val="004856A4"/>
    <w:rsid w:val="004A234C"/>
    <w:rsid w:val="004B508B"/>
    <w:rsid w:val="004C1DD1"/>
    <w:rsid w:val="00506C44"/>
    <w:rsid w:val="00507DB7"/>
    <w:rsid w:val="0051101E"/>
    <w:rsid w:val="00555B50"/>
    <w:rsid w:val="00560240"/>
    <w:rsid w:val="00561C08"/>
    <w:rsid w:val="00582A61"/>
    <w:rsid w:val="00593648"/>
    <w:rsid w:val="005974C1"/>
    <w:rsid w:val="005B745A"/>
    <w:rsid w:val="005E09BB"/>
    <w:rsid w:val="00602E68"/>
    <w:rsid w:val="00621A15"/>
    <w:rsid w:val="00621F34"/>
    <w:rsid w:val="006347D9"/>
    <w:rsid w:val="0065311D"/>
    <w:rsid w:val="00661704"/>
    <w:rsid w:val="00663127"/>
    <w:rsid w:val="0067374C"/>
    <w:rsid w:val="00677052"/>
    <w:rsid w:val="00697CD8"/>
    <w:rsid w:val="006C4221"/>
    <w:rsid w:val="006D5716"/>
    <w:rsid w:val="006E29B2"/>
    <w:rsid w:val="00730749"/>
    <w:rsid w:val="007321D4"/>
    <w:rsid w:val="00734E4D"/>
    <w:rsid w:val="0073611D"/>
    <w:rsid w:val="00736ED7"/>
    <w:rsid w:val="00747FFC"/>
    <w:rsid w:val="007602F4"/>
    <w:rsid w:val="00764B84"/>
    <w:rsid w:val="007A4578"/>
    <w:rsid w:val="007B5085"/>
    <w:rsid w:val="007C40A4"/>
    <w:rsid w:val="007F4034"/>
    <w:rsid w:val="00806D44"/>
    <w:rsid w:val="00821BF0"/>
    <w:rsid w:val="00826080"/>
    <w:rsid w:val="00836E1A"/>
    <w:rsid w:val="00837B99"/>
    <w:rsid w:val="00853A04"/>
    <w:rsid w:val="00863422"/>
    <w:rsid w:val="00873E0C"/>
    <w:rsid w:val="008945AA"/>
    <w:rsid w:val="00897CC7"/>
    <w:rsid w:val="008A0253"/>
    <w:rsid w:val="008A4C07"/>
    <w:rsid w:val="008B0071"/>
    <w:rsid w:val="008B54A7"/>
    <w:rsid w:val="008D47F7"/>
    <w:rsid w:val="008E5916"/>
    <w:rsid w:val="008F1A1A"/>
    <w:rsid w:val="008F5840"/>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5ACD"/>
    <w:rsid w:val="00A15392"/>
    <w:rsid w:val="00A20213"/>
    <w:rsid w:val="00A31702"/>
    <w:rsid w:val="00A328B1"/>
    <w:rsid w:val="00A50C17"/>
    <w:rsid w:val="00A548B1"/>
    <w:rsid w:val="00A601FA"/>
    <w:rsid w:val="00A61AC2"/>
    <w:rsid w:val="00A6279C"/>
    <w:rsid w:val="00A64A29"/>
    <w:rsid w:val="00A83ECF"/>
    <w:rsid w:val="00A8511F"/>
    <w:rsid w:val="00A9190D"/>
    <w:rsid w:val="00A9506F"/>
    <w:rsid w:val="00A95D5B"/>
    <w:rsid w:val="00AA3D3D"/>
    <w:rsid w:val="00AC216E"/>
    <w:rsid w:val="00AC4911"/>
    <w:rsid w:val="00AD2667"/>
    <w:rsid w:val="00AE184E"/>
    <w:rsid w:val="00AE4F43"/>
    <w:rsid w:val="00AF34FA"/>
    <w:rsid w:val="00B062C2"/>
    <w:rsid w:val="00B11D26"/>
    <w:rsid w:val="00B150E6"/>
    <w:rsid w:val="00B21FF4"/>
    <w:rsid w:val="00B24A96"/>
    <w:rsid w:val="00B323DE"/>
    <w:rsid w:val="00B342F5"/>
    <w:rsid w:val="00B34C1B"/>
    <w:rsid w:val="00B56318"/>
    <w:rsid w:val="00B6013A"/>
    <w:rsid w:val="00B61B92"/>
    <w:rsid w:val="00B6566C"/>
    <w:rsid w:val="00B72394"/>
    <w:rsid w:val="00B74574"/>
    <w:rsid w:val="00BB298F"/>
    <w:rsid w:val="00BB427A"/>
    <w:rsid w:val="00BB702D"/>
    <w:rsid w:val="00BD737C"/>
    <w:rsid w:val="00BE4C86"/>
    <w:rsid w:val="00C0376D"/>
    <w:rsid w:val="00C074F5"/>
    <w:rsid w:val="00C13FD3"/>
    <w:rsid w:val="00C14380"/>
    <w:rsid w:val="00C1556F"/>
    <w:rsid w:val="00C23FFA"/>
    <w:rsid w:val="00C30635"/>
    <w:rsid w:val="00C4055A"/>
    <w:rsid w:val="00C46AE2"/>
    <w:rsid w:val="00C46F9C"/>
    <w:rsid w:val="00C513AB"/>
    <w:rsid w:val="00C57F1F"/>
    <w:rsid w:val="00C61843"/>
    <w:rsid w:val="00C62473"/>
    <w:rsid w:val="00C64514"/>
    <w:rsid w:val="00C700DA"/>
    <w:rsid w:val="00C85A97"/>
    <w:rsid w:val="00C93A5E"/>
    <w:rsid w:val="00C97A77"/>
    <w:rsid w:val="00CA06B8"/>
    <w:rsid w:val="00CD42D0"/>
    <w:rsid w:val="00CF1AE9"/>
    <w:rsid w:val="00CF2A6A"/>
    <w:rsid w:val="00D05058"/>
    <w:rsid w:val="00D06B5C"/>
    <w:rsid w:val="00D1595E"/>
    <w:rsid w:val="00D222E5"/>
    <w:rsid w:val="00D36224"/>
    <w:rsid w:val="00D424F8"/>
    <w:rsid w:val="00D5108E"/>
    <w:rsid w:val="00D5349D"/>
    <w:rsid w:val="00D84B81"/>
    <w:rsid w:val="00D8722E"/>
    <w:rsid w:val="00D91F51"/>
    <w:rsid w:val="00D944AF"/>
    <w:rsid w:val="00DC5707"/>
    <w:rsid w:val="00DC76C2"/>
    <w:rsid w:val="00DD0BC0"/>
    <w:rsid w:val="00DE3D89"/>
    <w:rsid w:val="00E15DAD"/>
    <w:rsid w:val="00E1648F"/>
    <w:rsid w:val="00E46CC8"/>
    <w:rsid w:val="00E471FF"/>
    <w:rsid w:val="00E50F23"/>
    <w:rsid w:val="00E629B1"/>
    <w:rsid w:val="00E655F2"/>
    <w:rsid w:val="00E75716"/>
    <w:rsid w:val="00E866B6"/>
    <w:rsid w:val="00E9442A"/>
    <w:rsid w:val="00EA2F9D"/>
    <w:rsid w:val="00EC75B3"/>
    <w:rsid w:val="00EE0702"/>
    <w:rsid w:val="00EF04CB"/>
    <w:rsid w:val="00F021F4"/>
    <w:rsid w:val="00F1164E"/>
    <w:rsid w:val="00F1232C"/>
    <w:rsid w:val="00F1565E"/>
    <w:rsid w:val="00F3789C"/>
    <w:rsid w:val="00F51321"/>
    <w:rsid w:val="00F52B6B"/>
    <w:rsid w:val="00F56F78"/>
    <w:rsid w:val="00F64167"/>
    <w:rsid w:val="00F656D3"/>
    <w:rsid w:val="00F67E02"/>
    <w:rsid w:val="00F726DB"/>
    <w:rsid w:val="00F7421E"/>
    <w:rsid w:val="00F96559"/>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 w:type="paragraph" w:styleId="NormaleWeb">
    <w:name w:val="Normal (Web)"/>
    <w:basedOn w:val="Normale"/>
    <w:uiPriority w:val="99"/>
    <w:unhideWhenUsed/>
    <w:rsid w:val="001369E2"/>
    <w:pPr>
      <w:suppressAutoHyphens w:val="0"/>
      <w:autoSpaceDN/>
      <w:spacing w:before="100" w:beforeAutospacing="1" w:after="100" w:afterAutospacing="1"/>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5470">
      <w:bodyDiv w:val="1"/>
      <w:marLeft w:val="0"/>
      <w:marRight w:val="0"/>
      <w:marTop w:val="0"/>
      <w:marBottom w:val="0"/>
      <w:divBdr>
        <w:top w:val="none" w:sz="0" w:space="0" w:color="auto"/>
        <w:left w:val="none" w:sz="0" w:space="0" w:color="auto"/>
        <w:bottom w:val="none" w:sz="0" w:space="0" w:color="auto"/>
        <w:right w:val="none" w:sz="0" w:space="0" w:color="auto"/>
      </w:divBdr>
    </w:div>
    <w:div w:id="215943534">
      <w:bodyDiv w:val="1"/>
      <w:marLeft w:val="0"/>
      <w:marRight w:val="0"/>
      <w:marTop w:val="0"/>
      <w:marBottom w:val="0"/>
      <w:divBdr>
        <w:top w:val="none" w:sz="0" w:space="0" w:color="auto"/>
        <w:left w:val="none" w:sz="0" w:space="0" w:color="auto"/>
        <w:bottom w:val="none" w:sz="0" w:space="0" w:color="auto"/>
        <w:right w:val="none" w:sz="0" w:space="0" w:color="auto"/>
      </w:divBdr>
      <w:divsChild>
        <w:div w:id="1093282429">
          <w:marLeft w:val="0"/>
          <w:marRight w:val="0"/>
          <w:marTop w:val="0"/>
          <w:marBottom w:val="0"/>
          <w:divBdr>
            <w:top w:val="none" w:sz="0" w:space="0" w:color="auto"/>
            <w:left w:val="none" w:sz="0" w:space="0" w:color="auto"/>
            <w:bottom w:val="none" w:sz="0" w:space="0" w:color="auto"/>
            <w:right w:val="none" w:sz="0" w:space="0" w:color="auto"/>
          </w:divBdr>
        </w:div>
      </w:divsChild>
    </w:div>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09279900">
      <w:bodyDiv w:val="1"/>
      <w:marLeft w:val="0"/>
      <w:marRight w:val="0"/>
      <w:marTop w:val="0"/>
      <w:marBottom w:val="0"/>
      <w:divBdr>
        <w:top w:val="none" w:sz="0" w:space="0" w:color="auto"/>
        <w:left w:val="none" w:sz="0" w:space="0" w:color="auto"/>
        <w:bottom w:val="none" w:sz="0" w:space="0" w:color="auto"/>
        <w:right w:val="none" w:sz="0" w:space="0" w:color="auto"/>
      </w:divBdr>
      <w:divsChild>
        <w:div w:id="437525286">
          <w:marLeft w:val="0"/>
          <w:marRight w:val="0"/>
          <w:marTop w:val="0"/>
          <w:marBottom w:val="0"/>
          <w:divBdr>
            <w:top w:val="none" w:sz="0" w:space="0" w:color="auto"/>
            <w:left w:val="none" w:sz="0" w:space="0" w:color="auto"/>
            <w:bottom w:val="none" w:sz="0" w:space="0" w:color="auto"/>
            <w:right w:val="none" w:sz="0" w:space="0" w:color="auto"/>
          </w:divBdr>
        </w:div>
      </w:divsChild>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505831495">
      <w:bodyDiv w:val="1"/>
      <w:marLeft w:val="0"/>
      <w:marRight w:val="0"/>
      <w:marTop w:val="0"/>
      <w:marBottom w:val="0"/>
      <w:divBdr>
        <w:top w:val="none" w:sz="0" w:space="0" w:color="auto"/>
        <w:left w:val="none" w:sz="0" w:space="0" w:color="auto"/>
        <w:bottom w:val="none" w:sz="0" w:space="0" w:color="auto"/>
        <w:right w:val="none" w:sz="0" w:space="0" w:color="auto"/>
      </w:divBdr>
    </w:div>
    <w:div w:id="51904582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652415951">
      <w:bodyDiv w:val="1"/>
      <w:marLeft w:val="0"/>
      <w:marRight w:val="0"/>
      <w:marTop w:val="0"/>
      <w:marBottom w:val="0"/>
      <w:divBdr>
        <w:top w:val="none" w:sz="0" w:space="0" w:color="auto"/>
        <w:left w:val="none" w:sz="0" w:space="0" w:color="auto"/>
        <w:bottom w:val="none" w:sz="0" w:space="0" w:color="auto"/>
        <w:right w:val="none" w:sz="0" w:space="0" w:color="auto"/>
      </w:divBdr>
    </w:div>
    <w:div w:id="797068811">
      <w:bodyDiv w:val="1"/>
      <w:marLeft w:val="0"/>
      <w:marRight w:val="0"/>
      <w:marTop w:val="0"/>
      <w:marBottom w:val="0"/>
      <w:divBdr>
        <w:top w:val="none" w:sz="0" w:space="0" w:color="auto"/>
        <w:left w:val="none" w:sz="0" w:space="0" w:color="auto"/>
        <w:bottom w:val="none" w:sz="0" w:space="0" w:color="auto"/>
        <w:right w:val="none" w:sz="0" w:space="0" w:color="auto"/>
      </w:divBdr>
      <w:divsChild>
        <w:div w:id="1408772160">
          <w:marLeft w:val="0"/>
          <w:marRight w:val="0"/>
          <w:marTop w:val="0"/>
          <w:marBottom w:val="0"/>
          <w:divBdr>
            <w:top w:val="none" w:sz="0" w:space="0" w:color="auto"/>
            <w:left w:val="none" w:sz="0" w:space="0" w:color="auto"/>
            <w:bottom w:val="none" w:sz="0" w:space="0" w:color="auto"/>
            <w:right w:val="none" w:sz="0" w:space="0" w:color="auto"/>
          </w:divBdr>
        </w:div>
      </w:divsChild>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26</cp:revision>
  <dcterms:created xsi:type="dcterms:W3CDTF">2021-11-26T15:07:00Z</dcterms:created>
  <dcterms:modified xsi:type="dcterms:W3CDTF">2022-09-21T16:36:00Z</dcterms:modified>
</cp:coreProperties>
</file>