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2A4EB99D" w:rsidR="00154E94" w:rsidRDefault="00821BF0">
      <w:pPr>
        <w:pStyle w:val="Titolo1"/>
        <w:rPr>
          <w:lang w:val="en-US"/>
        </w:rPr>
      </w:pPr>
      <w:r>
        <w:rPr>
          <w:lang w:val="en-US"/>
        </w:rPr>
        <w:t>Revised course</w:t>
      </w:r>
      <w:r w:rsidR="00EA2F9D" w:rsidRPr="00506C44">
        <w:rPr>
          <w:lang w:val="en-US"/>
        </w:rPr>
        <w:t>: “</w:t>
      </w:r>
      <w:r w:rsidR="000E3D1A" w:rsidRPr="00661704">
        <w:rPr>
          <w:rStyle w:val="apple-converted-space"/>
          <w:rFonts w:ascii="Times New Roman" w:hAnsi="Times New Roman" w:cs="Times New Roman"/>
          <w:color w:val="000000"/>
          <w:sz w:val="24"/>
          <w:shd w:val="clear" w:color="auto" w:fill="FFFFFF"/>
          <w:lang w:val="en-US"/>
        </w:rPr>
        <w:t>(</w:t>
      </w:r>
      <w:r w:rsidR="007F5100">
        <w:rPr>
          <w:rStyle w:val="apple-converted-space"/>
          <w:rFonts w:ascii="Times New Roman" w:hAnsi="Times New Roman" w:cs="Times New Roman"/>
          <w:color w:val="000000"/>
          <w:sz w:val="24"/>
          <w:shd w:val="clear" w:color="auto" w:fill="FFFFFF"/>
          <w:lang w:val="en-US"/>
        </w:rPr>
        <w:t>FRM</w:t>
      </w:r>
      <w:r w:rsidR="00B342F5">
        <w:rPr>
          <w:rStyle w:val="apple-converted-space"/>
          <w:rFonts w:ascii="Times New Roman" w:hAnsi="Times New Roman" w:cs="Times New Roman"/>
          <w:color w:val="000000"/>
          <w:sz w:val="24"/>
          <w:shd w:val="clear" w:color="auto" w:fill="FFFFFF"/>
          <w:lang w:val="en-US"/>
        </w:rPr>
        <w:t>-</w:t>
      </w:r>
      <w:r w:rsidR="00CF1B4B">
        <w:rPr>
          <w:rStyle w:val="apple-converted-space"/>
          <w:rFonts w:ascii="Times New Roman" w:hAnsi="Times New Roman" w:cs="Times New Roman"/>
          <w:color w:val="000000"/>
          <w:sz w:val="24"/>
          <w:shd w:val="clear" w:color="auto" w:fill="FFFFFF"/>
          <w:lang w:val="en-US"/>
        </w:rPr>
        <w:t>611</w:t>
      </w:r>
      <w:r w:rsidR="000E3D1A">
        <w:rPr>
          <w:rStyle w:val="apple-converted-space"/>
          <w:rFonts w:ascii="Times New Roman" w:hAnsi="Times New Roman" w:cs="Times New Roman"/>
          <w:color w:val="000000"/>
          <w:sz w:val="24"/>
          <w:shd w:val="clear" w:color="auto" w:fill="FFFFFF"/>
          <w:lang w:val="en-US"/>
        </w:rPr>
        <w:t>)</w:t>
      </w:r>
      <w:r w:rsidR="000E3D1A" w:rsidRPr="000E3D1A">
        <w:rPr>
          <w:rStyle w:val="apple-converted-space"/>
          <w:rFonts w:ascii="Times New Roman" w:hAnsi="Times New Roman" w:cs="Times New Roman"/>
          <w:color w:val="000000"/>
          <w:sz w:val="24"/>
          <w:shd w:val="clear" w:color="auto" w:fill="FFFFFF"/>
          <w:lang w:val="en-US"/>
        </w:rPr>
        <w:t xml:space="preserve"> </w:t>
      </w:r>
      <w:r w:rsidR="00826745" w:rsidRPr="00826745">
        <w:rPr>
          <w:rStyle w:val="apple-converted-space"/>
          <w:rFonts w:ascii="Times New Roman" w:hAnsi="Times New Roman" w:cs="Times New Roman"/>
          <w:color w:val="000000"/>
          <w:sz w:val="24"/>
          <w:shd w:val="clear" w:color="auto" w:fill="FFFFFF"/>
          <w:lang w:val="en-US"/>
        </w:rPr>
        <w:t>Urban Ecosystem Managemen</w:t>
      </w:r>
      <w:r w:rsidR="007F5100">
        <w:rPr>
          <w:rStyle w:val="apple-converted-space"/>
          <w:rFonts w:ascii="Times New Roman" w:hAnsi="Times New Roman" w:cs="Times New Roman"/>
          <w:color w:val="000000"/>
          <w:sz w:val="24"/>
          <w:shd w:val="clear" w:color="auto" w:fill="FFFFFF"/>
          <w:lang w:val="en-US"/>
        </w:rPr>
        <w:t>t</w:t>
      </w:r>
      <w:r w:rsidR="00EA2F9D" w:rsidRPr="00506C44">
        <w:rPr>
          <w:lang w:val="en-US"/>
        </w:rPr>
        <w:t>”</w:t>
      </w:r>
    </w:p>
    <w:p w14:paraId="0816A9F0" w14:textId="0D372C8F" w:rsidR="00367411" w:rsidRPr="00A83ECF" w:rsidRDefault="00A83ECF" w:rsidP="00A83ECF">
      <w:pPr>
        <w:pStyle w:val="Titolo1"/>
        <w:rPr>
          <w:lang w:val="en-US"/>
        </w:rPr>
      </w:pPr>
      <w:r w:rsidRPr="00A83ECF">
        <w:rPr>
          <w:lang w:val="en-US"/>
        </w:rPr>
        <w:t>Sher-e-Kashmir University</w:t>
      </w:r>
      <w:r>
        <w:rPr>
          <w:lang w:val="en-US"/>
        </w:rPr>
        <w:t xml:space="preserve"> </w:t>
      </w:r>
      <w:r w:rsidRPr="00A83ECF">
        <w:rPr>
          <w:lang w:val="en-US"/>
        </w:rPr>
        <w:t>of Agricultural Sciences &amp;</w:t>
      </w:r>
      <w:r>
        <w:rPr>
          <w:lang w:val="en-US"/>
        </w:rPr>
        <w:t xml:space="preserve"> </w:t>
      </w:r>
      <w:r w:rsidRPr="00A83ECF">
        <w:rPr>
          <w:lang w:val="en-US"/>
        </w:rPr>
        <w:t>Technology of Kashmir</w:t>
      </w:r>
    </w:p>
    <w:p w14:paraId="776430D9" w14:textId="3FC29538" w:rsidR="00826080" w:rsidRPr="00506C44" w:rsidRDefault="00CF1B4B">
      <w:pPr>
        <w:pStyle w:val="Titolo1"/>
        <w:rPr>
          <w:lang w:val="en-US"/>
        </w:rPr>
      </w:pPr>
      <w:r>
        <w:rPr>
          <w:color w:val="000000"/>
          <w:lang w:val="en-US"/>
        </w:rPr>
        <w:t>PhD</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5241DA"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5241D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6881B705" w14:textId="77777777" w:rsidR="005241DA" w:rsidRPr="00793EEC" w:rsidRDefault="005241DA" w:rsidP="005241DA">
            <w:pPr>
              <w:numPr>
                <w:ilvl w:val="0"/>
                <w:numId w:val="1"/>
              </w:numPr>
              <w:spacing w:after="0"/>
              <w:ind w:hanging="360"/>
              <w:rPr>
                <w:i/>
                <w:sz w:val="20"/>
                <w:lang w:val="en-US"/>
              </w:rPr>
            </w:pPr>
            <w:r w:rsidRPr="00793EEC">
              <w:rPr>
                <w:i/>
                <w:sz w:val="20"/>
                <w:lang w:val="en-US"/>
              </w:rPr>
              <w:t xml:space="preserve">Evaluation </w:t>
            </w:r>
          </w:p>
          <w:p w14:paraId="53573BD8" w14:textId="77777777" w:rsidR="005241DA" w:rsidRPr="00FA316C" w:rsidRDefault="005241DA" w:rsidP="005241DA">
            <w:pPr>
              <w:spacing w:after="0"/>
              <w:rPr>
                <w:lang w:val="en-US"/>
              </w:rPr>
            </w:pPr>
            <w:r w:rsidRPr="00FA316C">
              <w:rPr>
                <w:lang w:val="en-US"/>
              </w:rPr>
              <w:t>In general the number of hours for lectures (32 hours), practical exercises and self-study (28 hours) is correctly designed</w:t>
            </w:r>
          </w:p>
          <w:p w14:paraId="549F9F11" w14:textId="77777777" w:rsidR="005241DA" w:rsidRPr="00FA316C" w:rsidRDefault="005241DA" w:rsidP="005241DA">
            <w:pPr>
              <w:spacing w:after="0"/>
              <w:rPr>
                <w:lang w:val="en-US"/>
              </w:rPr>
            </w:pPr>
          </w:p>
          <w:p w14:paraId="0AA6219A" w14:textId="77777777" w:rsidR="005241DA" w:rsidRPr="00FA316C" w:rsidRDefault="005241DA" w:rsidP="005241DA">
            <w:pPr>
              <w:spacing w:after="0"/>
              <w:rPr>
                <w:lang w:val="en-US"/>
              </w:rPr>
            </w:pPr>
            <w:r w:rsidRPr="00FA316C">
              <w:rPr>
                <w:lang w:val="en-US"/>
              </w:rPr>
              <w:t>The 5 foreseen units give to the students a good background about approaches and models of urban ecology and ecosystems.</w:t>
            </w:r>
          </w:p>
          <w:p w14:paraId="2263BCEE" w14:textId="77777777" w:rsidR="005241DA" w:rsidRPr="00FA316C" w:rsidRDefault="005241DA" w:rsidP="005241DA">
            <w:pPr>
              <w:spacing w:after="0"/>
              <w:rPr>
                <w:lang w:val="en-US"/>
              </w:rPr>
            </w:pPr>
            <w:r w:rsidRPr="00FA316C">
              <w:rPr>
                <w:lang w:val="en-US"/>
              </w:rPr>
              <w:t>The units contain a balanced numbers of learning objectives and outcomes sustainable for a good level of learning.</w:t>
            </w:r>
          </w:p>
          <w:p w14:paraId="6753C1D6" w14:textId="77777777" w:rsidR="005241DA" w:rsidRPr="00793EEC" w:rsidRDefault="005241DA" w:rsidP="005241DA">
            <w:pPr>
              <w:spacing w:after="0"/>
              <w:ind w:left="360"/>
              <w:rPr>
                <w:i/>
                <w:sz w:val="20"/>
                <w:lang w:val="en-US"/>
              </w:rPr>
            </w:pPr>
          </w:p>
          <w:p w14:paraId="1340249C" w14:textId="77777777" w:rsidR="005241DA" w:rsidRPr="00793EEC" w:rsidRDefault="005241DA" w:rsidP="005241DA">
            <w:pPr>
              <w:spacing w:after="0"/>
              <w:rPr>
                <w:i/>
                <w:sz w:val="20"/>
                <w:lang w:val="en-US"/>
              </w:rPr>
            </w:pPr>
            <w:r w:rsidRPr="00793EEC">
              <w:rPr>
                <w:i/>
                <w:sz w:val="20"/>
                <w:lang w:val="en-US"/>
              </w:rPr>
              <w:t>•</w:t>
            </w:r>
            <w:r w:rsidRPr="00793EEC">
              <w:rPr>
                <w:i/>
                <w:sz w:val="20"/>
                <w:lang w:val="en-US"/>
              </w:rPr>
              <w:tab/>
              <w:t xml:space="preserve">Strategies for improvement </w:t>
            </w:r>
          </w:p>
          <w:p w14:paraId="23EEDAC3" w14:textId="1EC91D6F" w:rsidR="000507DB" w:rsidRPr="00506C44" w:rsidRDefault="005241DA" w:rsidP="005241DA">
            <w:pPr>
              <w:spacing w:after="0"/>
              <w:rPr>
                <w:lang w:val="en-US"/>
              </w:rPr>
            </w:pPr>
            <w:r>
              <w:rPr>
                <w:sz w:val="20"/>
                <w:lang w:val="en-US"/>
              </w:rPr>
              <w:t>S</w:t>
            </w:r>
            <w:r w:rsidRPr="00005DA3">
              <w:rPr>
                <w:sz w:val="20"/>
                <w:lang w:val="en-US"/>
              </w:rPr>
              <w:t xml:space="preserve">ome workload allocated for </w:t>
            </w:r>
            <w:r w:rsidRPr="00FA316C">
              <w:rPr>
                <w:lang w:val="en-US"/>
              </w:rPr>
              <w:t>self</w:t>
            </w:r>
            <w:r w:rsidRPr="00005DA3">
              <w:rPr>
                <w:sz w:val="20"/>
                <w:lang w:val="en-US"/>
              </w:rPr>
              <w:t>-study should be added, for example 25-30 hours for home studying.</w:t>
            </w:r>
          </w:p>
        </w:tc>
      </w:tr>
      <w:tr w:rsidR="00826080" w:rsidRPr="005241DA"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5241DA" w14:paraId="2FC717B8" w14:textId="77777777" w:rsidTr="00826745">
        <w:trPr>
          <w:trHeight w:val="106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87FA4F5" w14:textId="77777777" w:rsidR="00826080" w:rsidRPr="005241DA" w:rsidRDefault="00EA2F9D">
            <w:pPr>
              <w:numPr>
                <w:ilvl w:val="0"/>
                <w:numId w:val="2"/>
              </w:numPr>
              <w:spacing w:after="0"/>
              <w:ind w:hanging="360"/>
            </w:pPr>
            <w:r w:rsidRPr="005241DA">
              <w:rPr>
                <w:i/>
                <w:sz w:val="20"/>
              </w:rPr>
              <w:t xml:space="preserve">Evaluation </w:t>
            </w:r>
          </w:p>
          <w:p w14:paraId="7791CF35" w14:textId="12CF42E4" w:rsidR="00FC0CC1" w:rsidRPr="00225F33" w:rsidRDefault="005241DA" w:rsidP="00225F33">
            <w:pPr>
              <w:tabs>
                <w:tab w:val="left" w:pos="1853"/>
              </w:tabs>
              <w:spacing w:after="0"/>
              <w:ind w:right="52"/>
              <w:jc w:val="both"/>
              <w:rPr>
                <w:lang w:val="en-US"/>
              </w:rPr>
            </w:pPr>
            <w:r w:rsidRPr="005241DA">
              <w:rPr>
                <w:color w:val="auto"/>
                <w:lang w:val="en-US"/>
              </w:rPr>
              <w:t>The indicated number of ECTS is 2, but according to the actual length and distribution of the workload , it can be increased to 3 ECTS.</w:t>
            </w:r>
          </w:p>
        </w:tc>
      </w:tr>
      <w:tr w:rsidR="00826080" w:rsidRPr="005241DA"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5241DA"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F94814F" w14:textId="77777777" w:rsidR="00826080" w:rsidRPr="00D040C2" w:rsidRDefault="00EA2F9D">
            <w:pPr>
              <w:numPr>
                <w:ilvl w:val="0"/>
                <w:numId w:val="3"/>
              </w:numPr>
              <w:spacing w:after="0"/>
              <w:ind w:hanging="360"/>
              <w:rPr>
                <w:color w:val="auto"/>
              </w:rPr>
            </w:pPr>
            <w:r w:rsidRPr="00D040C2">
              <w:rPr>
                <w:i/>
                <w:color w:val="auto"/>
                <w:sz w:val="20"/>
              </w:rPr>
              <w:t xml:space="preserve">Evaluation </w:t>
            </w:r>
          </w:p>
          <w:p w14:paraId="1F3170B1" w14:textId="482BBFD0" w:rsidR="00826080" w:rsidRPr="00D040C2" w:rsidRDefault="00555B50">
            <w:pPr>
              <w:spacing w:after="43"/>
              <w:ind w:right="45"/>
              <w:jc w:val="both"/>
              <w:rPr>
                <w:iCs/>
                <w:color w:val="auto"/>
                <w:lang w:val="en-US"/>
              </w:rPr>
            </w:pPr>
            <w:r w:rsidRPr="00D040C2">
              <w:rPr>
                <w:iCs/>
                <w:color w:val="auto"/>
                <w:lang w:val="en-US"/>
              </w:rPr>
              <w:t xml:space="preserve">The syllabus does not specify the </w:t>
            </w:r>
            <w:r w:rsidR="009F4432" w:rsidRPr="00D040C2">
              <w:rPr>
                <w:iCs/>
                <w:color w:val="auto"/>
                <w:lang w:val="en-US"/>
              </w:rPr>
              <w:t>basic</w:t>
            </w:r>
            <w:r w:rsidR="0040284F" w:rsidRPr="00D040C2">
              <w:rPr>
                <w:iCs/>
                <w:color w:val="auto"/>
                <w:lang w:val="en-US"/>
              </w:rPr>
              <w:t xml:space="preserve"> prerequisites in terms of knowledge and skills</w:t>
            </w:r>
            <w:r w:rsidRPr="00D040C2">
              <w:rPr>
                <w:iCs/>
                <w:color w:val="auto"/>
                <w:lang w:val="en-US"/>
              </w:rPr>
              <w:t>.</w:t>
            </w:r>
          </w:p>
          <w:p w14:paraId="1FAFBA96" w14:textId="77777777" w:rsidR="00C4055A" w:rsidRPr="00D040C2" w:rsidRDefault="00C4055A" w:rsidP="00C4055A">
            <w:pPr>
              <w:spacing w:after="0"/>
              <w:ind w:left="360"/>
              <w:rPr>
                <w:color w:val="auto"/>
                <w:lang w:val="en-US"/>
              </w:rPr>
            </w:pPr>
          </w:p>
          <w:p w14:paraId="46BD0A98" w14:textId="6EDFEDB9" w:rsidR="00826080" w:rsidRPr="00D040C2" w:rsidRDefault="00EA2F9D">
            <w:pPr>
              <w:numPr>
                <w:ilvl w:val="0"/>
                <w:numId w:val="3"/>
              </w:numPr>
              <w:spacing w:after="0"/>
              <w:ind w:hanging="360"/>
              <w:rPr>
                <w:color w:val="auto"/>
              </w:rPr>
            </w:pPr>
            <w:proofErr w:type="spellStart"/>
            <w:r w:rsidRPr="00D040C2">
              <w:rPr>
                <w:i/>
                <w:color w:val="auto"/>
                <w:sz w:val="20"/>
              </w:rPr>
              <w:t>Strategies</w:t>
            </w:r>
            <w:proofErr w:type="spellEnd"/>
            <w:r w:rsidRPr="00D040C2">
              <w:rPr>
                <w:i/>
                <w:color w:val="auto"/>
                <w:sz w:val="20"/>
              </w:rPr>
              <w:t xml:space="preserve"> for improvement </w:t>
            </w:r>
          </w:p>
          <w:p w14:paraId="0FA4A783" w14:textId="77777777" w:rsidR="00826080" w:rsidRDefault="00555B50">
            <w:pPr>
              <w:spacing w:after="0"/>
              <w:ind w:left="53" w:right="50"/>
              <w:jc w:val="both"/>
              <w:rPr>
                <w:iCs/>
                <w:color w:val="auto"/>
                <w:lang w:val="en-US"/>
              </w:rPr>
            </w:pPr>
            <w:r w:rsidRPr="00D040C2">
              <w:rPr>
                <w:iCs/>
                <w:color w:val="auto"/>
                <w:lang w:val="en-US"/>
              </w:rPr>
              <w:t>Considering that the course is positioned in the I</w:t>
            </w:r>
            <w:r w:rsidR="00D040C2" w:rsidRPr="00D040C2">
              <w:rPr>
                <w:iCs/>
                <w:color w:val="auto"/>
                <w:lang w:val="en-US"/>
              </w:rPr>
              <w:t>I</w:t>
            </w:r>
            <w:r w:rsidRPr="00D040C2">
              <w:rPr>
                <w:iCs/>
                <w:color w:val="auto"/>
                <w:lang w:val="en-US"/>
              </w:rPr>
              <w:t xml:space="preserve"> semester, it should be highlighted if some prerequisites (to be achieved in the I semester) are required.</w:t>
            </w:r>
          </w:p>
          <w:p w14:paraId="5D4C5052" w14:textId="6AA476A3" w:rsidR="00503837" w:rsidRPr="00D040C2" w:rsidRDefault="00503837">
            <w:pPr>
              <w:spacing w:after="0"/>
              <w:ind w:left="53" w:right="50"/>
              <w:jc w:val="both"/>
              <w:rPr>
                <w:color w:val="auto"/>
                <w:lang w:val="en-US"/>
              </w:rPr>
            </w:pPr>
            <w:r>
              <w:rPr>
                <w:color w:val="auto"/>
                <w:lang w:val="en-US"/>
              </w:rPr>
              <w:t>Check the typo in the section of learning outcomes which are general and not related to “Unit I”</w:t>
            </w:r>
          </w:p>
        </w:tc>
      </w:tr>
      <w:tr w:rsidR="00F1565E" w:rsidRPr="005241DA"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F1565E" w:rsidRPr="005241DA" w14:paraId="77CF703D" w14:textId="77777777" w:rsidTr="008B046A">
        <w:trPr>
          <w:trHeight w:val="876"/>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05ACD" w:rsidRPr="00770154" w:rsidRDefault="00A05ACD" w:rsidP="00A05ACD">
            <w:pPr>
              <w:numPr>
                <w:ilvl w:val="0"/>
                <w:numId w:val="3"/>
              </w:numPr>
              <w:spacing w:after="0"/>
              <w:ind w:hanging="360"/>
              <w:rPr>
                <w:color w:val="auto"/>
              </w:rPr>
            </w:pPr>
            <w:r w:rsidRPr="00770154">
              <w:rPr>
                <w:i/>
                <w:color w:val="auto"/>
                <w:sz w:val="20"/>
              </w:rPr>
              <w:t xml:space="preserve">Evaluation </w:t>
            </w:r>
          </w:p>
          <w:p w14:paraId="3BAC637A" w14:textId="085FBAE6" w:rsidR="008A4C07" w:rsidRPr="00770154" w:rsidRDefault="00555B50" w:rsidP="00A05ACD">
            <w:pPr>
              <w:spacing w:after="43"/>
              <w:ind w:right="45"/>
              <w:jc w:val="both"/>
              <w:rPr>
                <w:color w:val="auto"/>
                <w:lang w:val="en-US"/>
              </w:rPr>
            </w:pPr>
            <w:r w:rsidRPr="00770154">
              <w:rPr>
                <w:color w:val="auto"/>
                <w:lang w:val="en-US"/>
              </w:rPr>
              <w:t xml:space="preserve">Individual and group assignments are well describe and framed within the course. However, evaluation criteria </w:t>
            </w:r>
            <w:r w:rsidR="004540A3" w:rsidRPr="00770154">
              <w:rPr>
                <w:color w:val="auto"/>
                <w:lang w:val="en-US"/>
              </w:rPr>
              <w:t>could be better</w:t>
            </w:r>
            <w:r w:rsidRPr="00770154">
              <w:rPr>
                <w:color w:val="auto"/>
                <w:lang w:val="en-US"/>
              </w:rPr>
              <w:t xml:space="preserve"> </w:t>
            </w:r>
            <w:r w:rsidR="00770154" w:rsidRPr="00770154">
              <w:rPr>
                <w:color w:val="auto"/>
                <w:lang w:val="en-US"/>
              </w:rPr>
              <w:t xml:space="preserve">balanced and </w:t>
            </w:r>
            <w:r w:rsidRPr="00770154">
              <w:rPr>
                <w:color w:val="auto"/>
                <w:lang w:val="en-US"/>
              </w:rPr>
              <w:t>detailed</w:t>
            </w:r>
            <w:r w:rsidR="004540A3" w:rsidRPr="00770154">
              <w:rPr>
                <w:color w:val="auto"/>
                <w:lang w:val="en-US"/>
              </w:rPr>
              <w:t>.</w:t>
            </w:r>
          </w:p>
          <w:p w14:paraId="11E9C54E" w14:textId="2113A790" w:rsidR="00A05ACD" w:rsidRPr="00770154" w:rsidRDefault="00A05ACD" w:rsidP="00A05ACD">
            <w:pPr>
              <w:numPr>
                <w:ilvl w:val="0"/>
                <w:numId w:val="3"/>
              </w:numPr>
              <w:spacing w:after="0"/>
              <w:ind w:hanging="360"/>
              <w:rPr>
                <w:color w:val="auto"/>
                <w:lang w:val="en-US"/>
              </w:rPr>
            </w:pPr>
            <w:r w:rsidRPr="00770154">
              <w:rPr>
                <w:i/>
                <w:color w:val="auto"/>
                <w:sz w:val="20"/>
                <w:lang w:val="en-US"/>
              </w:rPr>
              <w:t xml:space="preserve">Strategies for improvement </w:t>
            </w:r>
          </w:p>
          <w:p w14:paraId="6570AD28" w14:textId="77777777" w:rsidR="00621F34" w:rsidRDefault="00B062C2" w:rsidP="00A05ACD">
            <w:pPr>
              <w:spacing w:after="43"/>
              <w:ind w:right="45"/>
              <w:jc w:val="both"/>
              <w:rPr>
                <w:color w:val="auto"/>
                <w:lang w:val="en-US"/>
              </w:rPr>
            </w:pPr>
            <w:r w:rsidRPr="00770154">
              <w:rPr>
                <w:color w:val="auto"/>
                <w:lang w:val="en-US"/>
              </w:rPr>
              <w:t xml:space="preserve">More details </w:t>
            </w:r>
            <w:r w:rsidR="00295C9A" w:rsidRPr="00770154">
              <w:rPr>
                <w:color w:val="auto"/>
                <w:lang w:val="en-US"/>
              </w:rPr>
              <w:t>could</w:t>
            </w:r>
            <w:r w:rsidR="001606D5" w:rsidRPr="00770154">
              <w:rPr>
                <w:color w:val="auto"/>
                <w:lang w:val="en-US"/>
              </w:rPr>
              <w:t xml:space="preserve"> be added </w:t>
            </w:r>
            <w:r w:rsidRPr="00770154">
              <w:rPr>
                <w:color w:val="auto"/>
                <w:lang w:val="en-US"/>
              </w:rPr>
              <w:t xml:space="preserve">to </w:t>
            </w:r>
            <w:r w:rsidR="00295C9A" w:rsidRPr="00770154">
              <w:rPr>
                <w:color w:val="auto"/>
                <w:lang w:val="en-US"/>
              </w:rPr>
              <w:t xml:space="preserve">describe the type of </w:t>
            </w:r>
            <w:r w:rsidR="00555B50" w:rsidRPr="00770154">
              <w:rPr>
                <w:color w:val="auto"/>
                <w:lang w:val="en-US"/>
              </w:rPr>
              <w:t>mid-term and final</w:t>
            </w:r>
            <w:r w:rsidR="00295C9A" w:rsidRPr="00770154">
              <w:rPr>
                <w:color w:val="auto"/>
                <w:lang w:val="en-US"/>
              </w:rPr>
              <w:t xml:space="preserve"> examination</w:t>
            </w:r>
            <w:r w:rsidR="00555B50" w:rsidRPr="00770154">
              <w:rPr>
                <w:color w:val="auto"/>
                <w:lang w:val="en-US"/>
              </w:rPr>
              <w:t xml:space="preserve"> (written test, discussion, quiz)</w:t>
            </w:r>
            <w:r w:rsidR="00C62473" w:rsidRPr="00770154">
              <w:rPr>
                <w:color w:val="auto"/>
                <w:lang w:val="en-US"/>
              </w:rPr>
              <w:t>.</w:t>
            </w:r>
            <w:r w:rsidR="001606D5" w:rsidRPr="00770154">
              <w:rPr>
                <w:color w:val="auto"/>
                <w:lang w:val="en-US"/>
              </w:rPr>
              <w:t xml:space="preserve"> </w:t>
            </w:r>
            <w:r w:rsidR="00770154" w:rsidRPr="00770154">
              <w:rPr>
                <w:color w:val="auto"/>
                <w:lang w:val="en-US"/>
              </w:rPr>
              <w:t>Moreover, the weight of intermediate quiz could be rise to 10 points while the final exam limited to 50 points.</w:t>
            </w:r>
          </w:p>
          <w:p w14:paraId="049C35FA" w14:textId="7A88B112" w:rsidR="008B046A" w:rsidRPr="00770154" w:rsidRDefault="008B046A" w:rsidP="00A05ACD">
            <w:pPr>
              <w:spacing w:after="43"/>
              <w:ind w:right="45"/>
              <w:jc w:val="both"/>
              <w:rPr>
                <w:color w:val="auto"/>
                <w:lang w:val="en-US"/>
              </w:rPr>
            </w:pPr>
            <w:r>
              <w:rPr>
                <w:color w:val="auto"/>
                <w:lang w:val="en-US"/>
              </w:rPr>
              <w:lastRenderedPageBreak/>
              <w:t xml:space="preserve">Since this is course of the PHD program, a possible way to evaluate students will be the preparation of a short research paper on a </w:t>
            </w:r>
            <w:bookmarkStart w:id="0" w:name="_GoBack"/>
            <w:bookmarkEnd w:id="0"/>
            <w:r>
              <w:rPr>
                <w:color w:val="auto"/>
                <w:lang w:val="en-US"/>
              </w:rPr>
              <w:t>specific topic chosen by the student.</w:t>
            </w:r>
          </w:p>
        </w:tc>
      </w:tr>
    </w:tbl>
    <w:p w14:paraId="34A60577" w14:textId="77777777" w:rsidR="007A4578" w:rsidRPr="00863422" w:rsidRDefault="00EA2F9D">
      <w:pPr>
        <w:spacing w:after="0"/>
        <w:rPr>
          <w:color w:val="auto"/>
          <w:lang w:val="en-US"/>
        </w:rPr>
      </w:pPr>
      <w:r w:rsidRPr="00F1565E">
        <w:rPr>
          <w:color w:val="FF0000"/>
          <w:sz w:val="20"/>
          <w:lang w:val="en-US"/>
        </w:rPr>
        <w:lastRenderedPageBreak/>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5241DA"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CA41B7" w:rsidRDefault="007A4578" w:rsidP="007A4578">
            <w:pPr>
              <w:spacing w:after="0"/>
              <w:rPr>
                <w:color w:val="auto"/>
                <w:sz w:val="20"/>
                <w:lang w:val="en-US"/>
              </w:rPr>
            </w:pPr>
            <w:r w:rsidRPr="00CA41B7">
              <w:rPr>
                <w:color w:val="auto"/>
                <w:sz w:val="20"/>
                <w:lang w:val="en-US"/>
              </w:rPr>
              <w:t>Quality criteria 5: TLM and assessment strategy support students in undertaking the course i.e. prerequisites are</w:t>
            </w:r>
            <w:r w:rsidR="000507DB" w:rsidRPr="00CA41B7">
              <w:rPr>
                <w:color w:val="auto"/>
                <w:sz w:val="20"/>
                <w:lang w:val="en-US"/>
              </w:rPr>
              <w:t xml:space="preserve"> </w:t>
            </w:r>
            <w:r w:rsidRPr="00CA41B7">
              <w:rPr>
                <w:color w:val="auto"/>
                <w:sz w:val="20"/>
                <w:lang w:val="en-US"/>
              </w:rPr>
              <w:t>helpful and relevant, assessments help gauge students understanding</w:t>
            </w:r>
          </w:p>
        </w:tc>
      </w:tr>
      <w:tr w:rsidR="00F1565E" w:rsidRPr="005241DA"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770154" w:rsidRDefault="007A4578" w:rsidP="007A4578">
            <w:pPr>
              <w:numPr>
                <w:ilvl w:val="0"/>
                <w:numId w:val="3"/>
              </w:numPr>
              <w:spacing w:after="0"/>
              <w:ind w:hanging="360"/>
              <w:rPr>
                <w:i/>
                <w:color w:val="auto"/>
                <w:sz w:val="20"/>
              </w:rPr>
            </w:pPr>
            <w:r w:rsidRPr="00770154">
              <w:rPr>
                <w:i/>
                <w:color w:val="auto"/>
                <w:sz w:val="20"/>
              </w:rPr>
              <w:t>Evaluation</w:t>
            </w:r>
          </w:p>
          <w:p w14:paraId="6D7FD87D" w14:textId="2A121627" w:rsidR="00A64A29" w:rsidRPr="00770154" w:rsidRDefault="00661704" w:rsidP="007A4578">
            <w:pPr>
              <w:spacing w:after="43"/>
              <w:ind w:right="45"/>
              <w:jc w:val="both"/>
              <w:rPr>
                <w:color w:val="auto"/>
                <w:lang w:val="en-US"/>
              </w:rPr>
            </w:pPr>
            <w:r w:rsidRPr="00770154">
              <w:rPr>
                <w:color w:val="auto"/>
                <w:lang w:val="en-US"/>
              </w:rPr>
              <w:t xml:space="preserve">Teaching </w:t>
            </w:r>
            <w:r w:rsidR="00154C33" w:rsidRPr="00770154">
              <w:rPr>
                <w:color w:val="auto"/>
                <w:lang w:val="en-US"/>
              </w:rPr>
              <w:t xml:space="preserve">and learning methods are mixed </w:t>
            </w:r>
            <w:r w:rsidR="00CA41B7" w:rsidRPr="00770154">
              <w:rPr>
                <w:color w:val="auto"/>
                <w:lang w:val="en-US"/>
              </w:rPr>
              <w:t>and</w:t>
            </w:r>
            <w:r w:rsidR="0019762D" w:rsidRPr="00770154">
              <w:rPr>
                <w:color w:val="auto"/>
                <w:lang w:val="en-US"/>
              </w:rPr>
              <w:t xml:space="preserve"> includ</w:t>
            </w:r>
            <w:r w:rsidR="00CA41B7" w:rsidRPr="00770154">
              <w:rPr>
                <w:color w:val="auto"/>
                <w:lang w:val="en-US"/>
              </w:rPr>
              <w:t>e</w:t>
            </w:r>
            <w:r w:rsidR="0019762D" w:rsidRPr="00770154">
              <w:rPr>
                <w:color w:val="auto"/>
                <w:lang w:val="en-US"/>
              </w:rPr>
              <w:t xml:space="preserve"> taught classes</w:t>
            </w:r>
            <w:r w:rsidR="00CA41B7" w:rsidRPr="00770154">
              <w:rPr>
                <w:color w:val="auto"/>
                <w:lang w:val="en-US"/>
              </w:rPr>
              <w:t>,</w:t>
            </w:r>
            <w:r w:rsidR="0019762D" w:rsidRPr="00770154">
              <w:rPr>
                <w:color w:val="auto"/>
                <w:lang w:val="en-US"/>
              </w:rPr>
              <w:t xml:space="preserve"> </w:t>
            </w:r>
            <w:r w:rsidR="00CA41B7" w:rsidRPr="00770154">
              <w:rPr>
                <w:color w:val="auto"/>
                <w:lang w:val="en-US"/>
              </w:rPr>
              <w:t>case study</w:t>
            </w:r>
            <w:r w:rsidR="0019762D" w:rsidRPr="00770154">
              <w:rPr>
                <w:color w:val="auto"/>
                <w:lang w:val="en-US"/>
              </w:rPr>
              <w:t xml:space="preserve"> discussions and practical visits.</w:t>
            </w:r>
          </w:p>
          <w:p w14:paraId="56595B3A" w14:textId="2F52CFE9" w:rsidR="00770154" w:rsidRPr="00E96EA3" w:rsidRDefault="00770154" w:rsidP="00770154">
            <w:pPr>
              <w:spacing w:after="43"/>
              <w:ind w:right="45"/>
              <w:rPr>
                <w:color w:val="auto"/>
                <w:lang w:val="en-US"/>
              </w:rPr>
            </w:pPr>
            <w:r w:rsidRPr="00E96EA3">
              <w:rPr>
                <w:color w:val="auto"/>
                <w:lang w:val="en-US"/>
              </w:rPr>
              <w:t xml:space="preserve">However, the practice-oriented components of the course are not described, so it is not clear how the practical visits are related to contents of the course. </w:t>
            </w:r>
            <w:r w:rsidR="00503837">
              <w:rPr>
                <w:color w:val="auto"/>
                <w:lang w:val="en-US"/>
              </w:rPr>
              <w:t>They</w:t>
            </w:r>
            <w:r w:rsidRPr="00E96EA3">
              <w:rPr>
                <w:color w:val="auto"/>
                <w:lang w:val="en-US"/>
              </w:rPr>
              <w:t xml:space="preserve"> seem to be basically </w:t>
            </w:r>
            <w:r w:rsidR="00503837">
              <w:rPr>
                <w:color w:val="auto"/>
                <w:lang w:val="en-US"/>
              </w:rPr>
              <w:t>included in</w:t>
            </w:r>
            <w:r w:rsidRPr="00E96EA3">
              <w:rPr>
                <w:color w:val="auto"/>
                <w:lang w:val="en-US"/>
              </w:rPr>
              <w:t>to individual and group assignments</w:t>
            </w:r>
            <w:r w:rsidR="00503837">
              <w:rPr>
                <w:color w:val="auto"/>
                <w:lang w:val="en-US"/>
              </w:rPr>
              <w:t>.</w:t>
            </w:r>
          </w:p>
          <w:p w14:paraId="19401912" w14:textId="3CFBBA26" w:rsidR="001B41BC" w:rsidRPr="00E96EA3" w:rsidRDefault="007A4578" w:rsidP="00E50F23">
            <w:pPr>
              <w:spacing w:after="43"/>
              <w:ind w:right="45"/>
              <w:jc w:val="both"/>
              <w:rPr>
                <w:color w:val="auto"/>
                <w:lang w:val="en-US"/>
              </w:rPr>
            </w:pPr>
            <w:r w:rsidRPr="00E96EA3">
              <w:rPr>
                <w:color w:val="auto"/>
                <w:lang w:val="en-US"/>
              </w:rPr>
              <w:t xml:space="preserve">The list of </w:t>
            </w:r>
            <w:r w:rsidR="00555B50" w:rsidRPr="00E96EA3">
              <w:rPr>
                <w:color w:val="auto"/>
                <w:lang w:val="en-US"/>
              </w:rPr>
              <w:t xml:space="preserve">materials/books </w:t>
            </w:r>
            <w:r w:rsidR="004540A3" w:rsidRPr="00E96EA3">
              <w:rPr>
                <w:color w:val="auto"/>
                <w:lang w:val="en-US"/>
              </w:rPr>
              <w:t xml:space="preserve">could be </w:t>
            </w:r>
            <w:r w:rsidR="00503837">
              <w:rPr>
                <w:color w:val="auto"/>
                <w:lang w:val="en-US"/>
              </w:rPr>
              <w:t>enriched</w:t>
            </w:r>
            <w:r w:rsidR="0019762D" w:rsidRPr="00E96EA3">
              <w:rPr>
                <w:color w:val="auto"/>
                <w:lang w:val="en-US"/>
              </w:rPr>
              <w:t>.</w:t>
            </w:r>
            <w:r w:rsidR="00FF1040">
              <w:rPr>
                <w:color w:val="auto"/>
                <w:lang w:val="en-US"/>
              </w:rPr>
              <w:t xml:space="preserve"> Currently it includes one book, two article</w:t>
            </w:r>
            <w:r w:rsidR="00CE6E98">
              <w:rPr>
                <w:color w:val="auto"/>
                <w:lang w:val="en-US"/>
              </w:rPr>
              <w:t>s</w:t>
            </w:r>
            <w:r w:rsidR="00FF1040">
              <w:rPr>
                <w:color w:val="auto"/>
                <w:lang w:val="en-US"/>
              </w:rPr>
              <w:t xml:space="preserve"> (online) and one report, which is not sufficient to cover all contents of the course at the </w:t>
            </w:r>
            <w:proofErr w:type="spellStart"/>
            <w:r w:rsidR="008C506C">
              <w:rPr>
                <w:color w:val="auto"/>
                <w:lang w:val="en-US"/>
              </w:rPr>
              <w:t>phd</w:t>
            </w:r>
            <w:proofErr w:type="spellEnd"/>
            <w:r w:rsidR="008C506C">
              <w:rPr>
                <w:color w:val="auto"/>
                <w:lang w:val="en-US"/>
              </w:rPr>
              <w:t xml:space="preserve"> </w:t>
            </w:r>
            <w:r w:rsidR="00FF1040">
              <w:rPr>
                <w:color w:val="auto"/>
                <w:lang w:val="en-US"/>
              </w:rPr>
              <w:t>level</w:t>
            </w:r>
          </w:p>
          <w:p w14:paraId="5C49CBA2" w14:textId="0EE5C553" w:rsidR="007A4578" w:rsidRPr="00E96EA3" w:rsidRDefault="007A4578" w:rsidP="00D06B5C">
            <w:pPr>
              <w:numPr>
                <w:ilvl w:val="0"/>
                <w:numId w:val="3"/>
              </w:numPr>
              <w:spacing w:after="0"/>
              <w:ind w:hanging="360"/>
              <w:rPr>
                <w:i/>
                <w:color w:val="auto"/>
                <w:sz w:val="20"/>
              </w:rPr>
            </w:pPr>
            <w:proofErr w:type="spellStart"/>
            <w:r w:rsidRPr="00E96EA3">
              <w:rPr>
                <w:i/>
                <w:color w:val="auto"/>
                <w:sz w:val="20"/>
              </w:rPr>
              <w:t>Strategies</w:t>
            </w:r>
            <w:proofErr w:type="spellEnd"/>
            <w:r w:rsidRPr="00E96EA3">
              <w:rPr>
                <w:i/>
                <w:color w:val="auto"/>
                <w:sz w:val="20"/>
              </w:rPr>
              <w:t xml:space="preserve"> for improvement</w:t>
            </w:r>
          </w:p>
          <w:p w14:paraId="29E49B1C" w14:textId="421F535E" w:rsidR="00E96EA3" w:rsidRPr="00E96EA3" w:rsidRDefault="00E96EA3" w:rsidP="002C2844">
            <w:pPr>
              <w:spacing w:after="43"/>
              <w:ind w:right="45"/>
              <w:jc w:val="both"/>
              <w:rPr>
                <w:color w:val="auto"/>
                <w:lang w:val="en-US"/>
              </w:rPr>
            </w:pPr>
            <w:r w:rsidRPr="00E96EA3">
              <w:rPr>
                <w:color w:val="auto"/>
                <w:lang w:val="en-US"/>
              </w:rPr>
              <w:t>The syllabus must refer to practice-oriented components of the course, explicating the corresponding lecture hours</w:t>
            </w:r>
          </w:p>
          <w:p w14:paraId="7DBD5FE3" w14:textId="5A7BEDE9" w:rsidR="001B41BC" w:rsidRPr="00E96EA3" w:rsidRDefault="00FF1040" w:rsidP="002C2844">
            <w:pPr>
              <w:spacing w:after="43"/>
              <w:ind w:right="45"/>
              <w:jc w:val="both"/>
              <w:rPr>
                <w:color w:val="auto"/>
                <w:lang w:val="en-US"/>
              </w:rPr>
            </w:pPr>
            <w:r>
              <w:rPr>
                <w:color w:val="auto"/>
                <w:lang w:val="en-US"/>
              </w:rPr>
              <w:t>-</w:t>
            </w:r>
            <w:r w:rsidR="00555B50" w:rsidRPr="00E96EA3">
              <w:rPr>
                <w:color w:val="auto"/>
                <w:lang w:val="en-US"/>
              </w:rPr>
              <w:t>Specify which part of the list of materials/books could be considered compulsory and which part recommended.</w:t>
            </w:r>
          </w:p>
          <w:p w14:paraId="10C9D336" w14:textId="3846527A" w:rsidR="00B74574" w:rsidRDefault="00FF1040" w:rsidP="00130A62">
            <w:pPr>
              <w:spacing w:after="43"/>
              <w:ind w:right="45"/>
              <w:jc w:val="both"/>
              <w:rPr>
                <w:color w:val="FF0000"/>
                <w:lang w:val="en-US"/>
              </w:rPr>
            </w:pPr>
            <w:r w:rsidRPr="008C506C">
              <w:rPr>
                <w:color w:val="auto"/>
                <w:lang w:val="en-US"/>
              </w:rPr>
              <w:t>-Please check the third item in the list of reference and correct the report location</w:t>
            </w:r>
          </w:p>
          <w:p w14:paraId="0FB7370A" w14:textId="74CAF5F1" w:rsidR="00FF1040" w:rsidRDefault="00FF1040" w:rsidP="00130A62">
            <w:pPr>
              <w:spacing w:after="43"/>
              <w:ind w:right="45"/>
              <w:jc w:val="both"/>
              <w:rPr>
                <w:color w:val="auto"/>
                <w:lang w:val="en-US"/>
              </w:rPr>
            </w:pPr>
            <w:r>
              <w:rPr>
                <w:color w:val="auto"/>
                <w:lang w:val="en-US"/>
              </w:rPr>
              <w:t>-Below some interesting references:</w:t>
            </w:r>
          </w:p>
          <w:p w14:paraId="294A15D7" w14:textId="3B0CB492" w:rsidR="008C506C" w:rsidRPr="008C506C" w:rsidRDefault="008C506C" w:rsidP="008C506C">
            <w:pPr>
              <w:pStyle w:val="Paragrafoelenco"/>
              <w:numPr>
                <w:ilvl w:val="0"/>
                <w:numId w:val="6"/>
              </w:numPr>
              <w:spacing w:after="43"/>
              <w:ind w:right="45"/>
              <w:jc w:val="both"/>
              <w:rPr>
                <w:color w:val="auto"/>
                <w:lang w:val="en-US"/>
              </w:rPr>
            </w:pPr>
            <w:r>
              <w:rPr>
                <w:color w:val="auto"/>
                <w:lang w:val="en-US"/>
              </w:rPr>
              <w:t xml:space="preserve">(freely available online) </w:t>
            </w:r>
            <w:proofErr w:type="spellStart"/>
            <w:r>
              <w:rPr>
                <w:color w:val="auto"/>
                <w:lang w:val="en-US"/>
              </w:rPr>
              <w:t>Elm</w:t>
            </w:r>
            <w:r w:rsidR="00384059">
              <w:rPr>
                <w:color w:val="auto"/>
                <w:lang w:val="en-US"/>
              </w:rPr>
              <w:t>q</w:t>
            </w:r>
            <w:r>
              <w:rPr>
                <w:color w:val="auto"/>
                <w:lang w:val="en-US"/>
              </w:rPr>
              <w:t>vist</w:t>
            </w:r>
            <w:proofErr w:type="spellEnd"/>
            <w:r>
              <w:rPr>
                <w:color w:val="auto"/>
                <w:lang w:val="en-US"/>
              </w:rPr>
              <w:t xml:space="preserve"> et al. </w:t>
            </w:r>
            <w:r w:rsidR="00384059">
              <w:rPr>
                <w:color w:val="auto"/>
                <w:lang w:val="en-US"/>
              </w:rPr>
              <w:t xml:space="preserve">(2013). </w:t>
            </w:r>
            <w:r w:rsidRPr="008C506C">
              <w:rPr>
                <w:color w:val="auto"/>
                <w:lang w:val="en-US"/>
              </w:rPr>
              <w:t>Urbanization, Biodiversity and Ecosystem Services: Challenges and Opportunities. SpringerLink. https://doi.org/10.1007-978-94-007-7088-1</w:t>
            </w:r>
          </w:p>
          <w:p w14:paraId="1F3AC07E" w14:textId="2857ED72" w:rsidR="00FF1040" w:rsidRDefault="00FF1040" w:rsidP="00FF1040">
            <w:pPr>
              <w:pStyle w:val="Paragrafoelenco"/>
              <w:numPr>
                <w:ilvl w:val="0"/>
                <w:numId w:val="6"/>
              </w:numPr>
              <w:spacing w:after="43"/>
              <w:ind w:right="45"/>
              <w:jc w:val="both"/>
              <w:rPr>
                <w:color w:val="auto"/>
                <w:lang w:val="en-US"/>
              </w:rPr>
            </w:pPr>
            <w:r w:rsidRPr="00FF1040">
              <w:rPr>
                <w:color w:val="auto"/>
                <w:lang w:val="en-US"/>
              </w:rPr>
              <w:t xml:space="preserve">Blue-Green Infrastructure Across Asian Countries. (2022). SpringerLink. </w:t>
            </w:r>
            <w:hyperlink r:id="rId7" w:history="1">
              <w:r w:rsidRPr="00F74B17">
                <w:rPr>
                  <w:rStyle w:val="Collegamentoipertestuale"/>
                  <w:lang w:val="en-US"/>
                </w:rPr>
                <w:t>https://doi.org/10.1007-978-981-16-7128-9</w:t>
              </w:r>
            </w:hyperlink>
          </w:p>
          <w:p w14:paraId="1731A028" w14:textId="71B4DD4D" w:rsidR="008C506C" w:rsidRPr="008C506C" w:rsidRDefault="008C506C" w:rsidP="008C506C">
            <w:pPr>
              <w:pStyle w:val="Paragrafoelenco"/>
              <w:numPr>
                <w:ilvl w:val="0"/>
                <w:numId w:val="6"/>
              </w:numPr>
              <w:spacing w:after="43"/>
              <w:ind w:right="45"/>
              <w:jc w:val="both"/>
              <w:rPr>
                <w:color w:val="auto"/>
                <w:lang w:val="en-US"/>
              </w:rPr>
            </w:pPr>
            <w:r>
              <w:rPr>
                <w:color w:val="auto"/>
                <w:lang w:val="en-US"/>
              </w:rPr>
              <w:t>-</w:t>
            </w:r>
            <w:proofErr w:type="spellStart"/>
            <w:r>
              <w:rPr>
                <w:color w:val="auto"/>
                <w:lang w:val="en-US"/>
              </w:rPr>
              <w:t>Keitaro</w:t>
            </w:r>
            <w:proofErr w:type="spellEnd"/>
            <w:r>
              <w:rPr>
                <w:color w:val="auto"/>
                <w:lang w:val="en-US"/>
              </w:rPr>
              <w:t xml:space="preserve"> Ito (2021). Urban biodiversity and ecological design for sustainable </w:t>
            </w:r>
            <w:proofErr w:type="spellStart"/>
            <w:r>
              <w:rPr>
                <w:color w:val="auto"/>
                <w:lang w:val="en-US"/>
              </w:rPr>
              <w:t>cities.Springer</w:t>
            </w:r>
            <w:proofErr w:type="spellEnd"/>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5241DA"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49792195" w14:textId="2BD63A48" w:rsidR="00697CD8" w:rsidRDefault="007F5100" w:rsidP="00E46CC8">
            <w:pPr>
              <w:spacing w:after="43"/>
              <w:ind w:right="45"/>
              <w:rPr>
                <w:color w:val="auto"/>
                <w:lang w:val="en-US"/>
              </w:rPr>
            </w:pPr>
            <w:r>
              <w:rPr>
                <w:color w:val="auto"/>
                <w:lang w:val="en-US"/>
              </w:rPr>
              <w:t xml:space="preserve">The </w:t>
            </w:r>
            <w:r w:rsidR="00697CD8" w:rsidRPr="00555B50">
              <w:rPr>
                <w:color w:val="auto"/>
                <w:lang w:val="en-US"/>
              </w:rPr>
              <w:t xml:space="preserve">practice-oriented </w:t>
            </w:r>
            <w:r>
              <w:rPr>
                <w:color w:val="auto"/>
                <w:lang w:val="en-US"/>
              </w:rPr>
              <w:t>components of the course are not described</w:t>
            </w:r>
            <w:r w:rsidR="00555B50" w:rsidRPr="00555B50">
              <w:rPr>
                <w:color w:val="auto"/>
                <w:lang w:val="en-US"/>
              </w:rPr>
              <w:t>.</w:t>
            </w:r>
          </w:p>
          <w:p w14:paraId="5486A2D0" w14:textId="544E411A" w:rsidR="007F5100" w:rsidRPr="00555B50" w:rsidRDefault="007F5100" w:rsidP="00E46CC8">
            <w:pPr>
              <w:spacing w:after="43"/>
              <w:ind w:right="45"/>
              <w:rPr>
                <w:color w:val="auto"/>
                <w:lang w:val="en-US"/>
              </w:rPr>
            </w:pPr>
            <w:r>
              <w:rPr>
                <w:color w:val="auto"/>
                <w:lang w:val="en-US"/>
              </w:rPr>
              <w:t xml:space="preserve">With regard to theory, the course content’s framework </w:t>
            </w:r>
            <w:r w:rsidR="00503837">
              <w:rPr>
                <w:color w:val="auto"/>
                <w:lang w:val="en-US"/>
              </w:rPr>
              <w:t>is well articulated</w:t>
            </w: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340BB34" w14:textId="77777777" w:rsidR="008C506C" w:rsidRDefault="003C6CDE" w:rsidP="008C506C">
            <w:pPr>
              <w:spacing w:after="43"/>
              <w:ind w:right="45"/>
              <w:jc w:val="both"/>
              <w:rPr>
                <w:lang w:val="en-US"/>
              </w:rPr>
            </w:pPr>
            <w:r>
              <w:rPr>
                <w:color w:val="auto"/>
                <w:lang w:val="en-US"/>
              </w:rPr>
              <w:t>-</w:t>
            </w:r>
            <w:r w:rsidR="007F5100">
              <w:rPr>
                <w:color w:val="auto"/>
                <w:lang w:val="en-US"/>
              </w:rPr>
              <w:t>Unit</w:t>
            </w:r>
            <w:r w:rsidR="00503837">
              <w:rPr>
                <w:color w:val="auto"/>
                <w:lang w:val="en-US"/>
              </w:rPr>
              <w:t xml:space="preserve"> 3</w:t>
            </w:r>
            <w:r w:rsidR="007F5100">
              <w:rPr>
                <w:color w:val="auto"/>
                <w:lang w:val="en-US"/>
              </w:rPr>
              <w:t xml:space="preserve"> </w:t>
            </w:r>
            <w:r w:rsidR="00503837">
              <w:rPr>
                <w:color w:val="auto"/>
                <w:lang w:val="en-US"/>
              </w:rPr>
              <w:t xml:space="preserve">might be reworked by </w:t>
            </w:r>
            <w:r w:rsidR="007F5100">
              <w:rPr>
                <w:color w:val="auto"/>
                <w:lang w:val="en-US"/>
              </w:rPr>
              <w:t>includ</w:t>
            </w:r>
            <w:r w:rsidR="00503837">
              <w:rPr>
                <w:color w:val="auto"/>
                <w:lang w:val="en-US"/>
              </w:rPr>
              <w:t xml:space="preserve">ing </w:t>
            </w:r>
            <w:r>
              <w:rPr>
                <w:color w:val="auto"/>
                <w:lang w:val="en-US"/>
              </w:rPr>
              <w:t xml:space="preserve">more comprehensive </w:t>
            </w:r>
            <w:r w:rsidR="007F5100">
              <w:rPr>
                <w:color w:val="auto"/>
                <w:lang w:val="en-US"/>
              </w:rPr>
              <w:t xml:space="preserve">lectures </w:t>
            </w:r>
            <w:r w:rsidR="00503837">
              <w:rPr>
                <w:color w:val="auto"/>
                <w:lang w:val="en-US"/>
              </w:rPr>
              <w:t xml:space="preserve">on green infrastructure as </w:t>
            </w:r>
            <w:r>
              <w:rPr>
                <w:color w:val="auto"/>
                <w:lang w:val="en-US"/>
              </w:rPr>
              <w:t xml:space="preserve">a multifunctional and </w:t>
            </w:r>
            <w:proofErr w:type="spellStart"/>
            <w:r>
              <w:rPr>
                <w:color w:val="auto"/>
                <w:lang w:val="en-US"/>
              </w:rPr>
              <w:t>multiscalar</w:t>
            </w:r>
            <w:proofErr w:type="spellEnd"/>
            <w:r>
              <w:rPr>
                <w:color w:val="auto"/>
                <w:lang w:val="en-US"/>
              </w:rPr>
              <w:t xml:space="preserve"> planned network of high quality natural and semi-natural areas with other environmental figures, refer</w:t>
            </w:r>
            <w:r w:rsidR="008C506C">
              <w:rPr>
                <w:color w:val="auto"/>
                <w:lang w:val="en-US"/>
              </w:rPr>
              <w:t>ring</w:t>
            </w:r>
            <w:r>
              <w:rPr>
                <w:color w:val="auto"/>
                <w:lang w:val="en-US"/>
              </w:rPr>
              <w:t xml:space="preserve"> to </w:t>
            </w:r>
            <w:r>
              <w:rPr>
                <w:lang w:val="en-US"/>
              </w:rPr>
              <w:t>t</w:t>
            </w:r>
            <w:r w:rsidRPr="003C6CDE">
              <w:rPr>
                <w:lang w:val="en-US"/>
              </w:rPr>
              <w:t>ree functionality</w:t>
            </w:r>
            <w:r>
              <w:rPr>
                <w:lang w:val="en-US"/>
              </w:rPr>
              <w:t xml:space="preserve"> and management as a specific focus</w:t>
            </w:r>
            <w:r w:rsidR="008C506C">
              <w:rPr>
                <w:lang w:val="en-US"/>
              </w:rPr>
              <w:t xml:space="preserve"> section</w:t>
            </w:r>
          </w:p>
          <w:p w14:paraId="0983A761" w14:textId="4B9737B3" w:rsidR="003E5E27" w:rsidRPr="00555B50" w:rsidRDefault="003C6CDE" w:rsidP="008C506C">
            <w:pPr>
              <w:spacing w:after="43"/>
              <w:ind w:right="45"/>
              <w:jc w:val="both"/>
              <w:rPr>
                <w:color w:val="auto"/>
                <w:lang w:val="en-US"/>
              </w:rPr>
            </w:pPr>
            <w:r>
              <w:rPr>
                <w:color w:val="auto"/>
                <w:lang w:val="en-US"/>
              </w:rPr>
              <w:t>-</w:t>
            </w:r>
            <w:r w:rsidR="003E5E27">
              <w:rPr>
                <w:color w:val="auto"/>
                <w:lang w:val="en-US"/>
              </w:rPr>
              <w:t>The syllabus must refer to practice-oriented components of the course, explicating the corresponding lecture hours</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8"/>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2820" w14:textId="77777777" w:rsidR="0056339D" w:rsidRDefault="0056339D">
      <w:pPr>
        <w:spacing w:after="0"/>
      </w:pPr>
      <w:r>
        <w:separator/>
      </w:r>
    </w:p>
  </w:endnote>
  <w:endnote w:type="continuationSeparator" w:id="0">
    <w:p w14:paraId="344CDA6E" w14:textId="77777777" w:rsidR="0056339D" w:rsidRDefault="00563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C6EF" w14:textId="77777777" w:rsidR="0056339D" w:rsidRDefault="0056339D">
      <w:pPr>
        <w:spacing w:after="0"/>
      </w:pPr>
      <w:r>
        <w:separator/>
      </w:r>
    </w:p>
  </w:footnote>
  <w:footnote w:type="continuationSeparator" w:id="0">
    <w:p w14:paraId="0187ACE0" w14:textId="77777777" w:rsidR="0056339D" w:rsidRDefault="00563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762B6C73"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5241DA" w:rsidRPr="00A93E13">
      <w:rPr>
        <w:noProof/>
      </w:rPr>
      <w:drawing>
        <wp:inline distT="0" distB="0" distL="0" distR="0" wp14:anchorId="7AEC7428" wp14:editId="5C311073">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4772D2B"/>
    <w:multiLevelType w:val="hybridMultilevel"/>
    <w:tmpl w:val="CAB4F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C0344"/>
    <w:rsid w:val="000E3D1A"/>
    <w:rsid w:val="000F7977"/>
    <w:rsid w:val="00116717"/>
    <w:rsid w:val="00130A62"/>
    <w:rsid w:val="00130B69"/>
    <w:rsid w:val="00145D24"/>
    <w:rsid w:val="00154C33"/>
    <w:rsid w:val="00154E94"/>
    <w:rsid w:val="001606D5"/>
    <w:rsid w:val="00161913"/>
    <w:rsid w:val="00176D9C"/>
    <w:rsid w:val="00177427"/>
    <w:rsid w:val="00183B00"/>
    <w:rsid w:val="0019762D"/>
    <w:rsid w:val="001A4D8F"/>
    <w:rsid w:val="001A6985"/>
    <w:rsid w:val="001A79A8"/>
    <w:rsid w:val="001B41BC"/>
    <w:rsid w:val="001C1320"/>
    <w:rsid w:val="001D2023"/>
    <w:rsid w:val="001D3441"/>
    <w:rsid w:val="001E7A28"/>
    <w:rsid w:val="00200937"/>
    <w:rsid w:val="00205113"/>
    <w:rsid w:val="00217A54"/>
    <w:rsid w:val="00224898"/>
    <w:rsid w:val="00225F33"/>
    <w:rsid w:val="00250701"/>
    <w:rsid w:val="00252987"/>
    <w:rsid w:val="00280723"/>
    <w:rsid w:val="0029036A"/>
    <w:rsid w:val="00295C9A"/>
    <w:rsid w:val="002A495B"/>
    <w:rsid w:val="002B03AE"/>
    <w:rsid w:val="002C1148"/>
    <w:rsid w:val="002C2844"/>
    <w:rsid w:val="002C60EE"/>
    <w:rsid w:val="002D712F"/>
    <w:rsid w:val="002E1395"/>
    <w:rsid w:val="002F0333"/>
    <w:rsid w:val="00340A6A"/>
    <w:rsid w:val="00345920"/>
    <w:rsid w:val="00347CDC"/>
    <w:rsid w:val="00367411"/>
    <w:rsid w:val="00374E86"/>
    <w:rsid w:val="00382381"/>
    <w:rsid w:val="00384059"/>
    <w:rsid w:val="00387063"/>
    <w:rsid w:val="003A6F26"/>
    <w:rsid w:val="003C6CDE"/>
    <w:rsid w:val="003C6DEC"/>
    <w:rsid w:val="003E5E27"/>
    <w:rsid w:val="0040284F"/>
    <w:rsid w:val="00403F7B"/>
    <w:rsid w:val="004044F0"/>
    <w:rsid w:val="00410E19"/>
    <w:rsid w:val="0041371D"/>
    <w:rsid w:val="004210E8"/>
    <w:rsid w:val="0043613F"/>
    <w:rsid w:val="00445122"/>
    <w:rsid w:val="004540A3"/>
    <w:rsid w:val="004713CA"/>
    <w:rsid w:val="00484B4D"/>
    <w:rsid w:val="004856A4"/>
    <w:rsid w:val="004A234C"/>
    <w:rsid w:val="004B508B"/>
    <w:rsid w:val="004C1DD1"/>
    <w:rsid w:val="00503837"/>
    <w:rsid w:val="00506C44"/>
    <w:rsid w:val="0051101E"/>
    <w:rsid w:val="005241DA"/>
    <w:rsid w:val="00555B50"/>
    <w:rsid w:val="00560240"/>
    <w:rsid w:val="00561C08"/>
    <w:rsid w:val="0056339D"/>
    <w:rsid w:val="00582A61"/>
    <w:rsid w:val="00593648"/>
    <w:rsid w:val="005974C1"/>
    <w:rsid w:val="005B745A"/>
    <w:rsid w:val="005D2675"/>
    <w:rsid w:val="005E08F4"/>
    <w:rsid w:val="00602E68"/>
    <w:rsid w:val="00621A15"/>
    <w:rsid w:val="00621F34"/>
    <w:rsid w:val="006347D9"/>
    <w:rsid w:val="0065311D"/>
    <w:rsid w:val="00661704"/>
    <w:rsid w:val="0067374C"/>
    <w:rsid w:val="00677052"/>
    <w:rsid w:val="00697CD8"/>
    <w:rsid w:val="006C4221"/>
    <w:rsid w:val="006E29B2"/>
    <w:rsid w:val="006F635D"/>
    <w:rsid w:val="00727E43"/>
    <w:rsid w:val="00730749"/>
    <w:rsid w:val="00734E4D"/>
    <w:rsid w:val="0073611D"/>
    <w:rsid w:val="00736ED7"/>
    <w:rsid w:val="007602F4"/>
    <w:rsid w:val="00764B84"/>
    <w:rsid w:val="00770154"/>
    <w:rsid w:val="007A4578"/>
    <w:rsid w:val="007B5085"/>
    <w:rsid w:val="007C40A4"/>
    <w:rsid w:val="007F4034"/>
    <w:rsid w:val="007F5100"/>
    <w:rsid w:val="00806D44"/>
    <w:rsid w:val="00821BF0"/>
    <w:rsid w:val="00826080"/>
    <w:rsid w:val="00826745"/>
    <w:rsid w:val="00836E1A"/>
    <w:rsid w:val="00837B99"/>
    <w:rsid w:val="00853A04"/>
    <w:rsid w:val="00863422"/>
    <w:rsid w:val="00873E0C"/>
    <w:rsid w:val="00874C27"/>
    <w:rsid w:val="008945AA"/>
    <w:rsid w:val="008A0253"/>
    <w:rsid w:val="008A4C07"/>
    <w:rsid w:val="008B0071"/>
    <w:rsid w:val="008B046A"/>
    <w:rsid w:val="008B54A7"/>
    <w:rsid w:val="008C506C"/>
    <w:rsid w:val="008D47F7"/>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D2667"/>
    <w:rsid w:val="00AE184E"/>
    <w:rsid w:val="00AF34FA"/>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B298F"/>
    <w:rsid w:val="00BD737C"/>
    <w:rsid w:val="00BE4C86"/>
    <w:rsid w:val="00C0376D"/>
    <w:rsid w:val="00C074F5"/>
    <w:rsid w:val="00C13FD3"/>
    <w:rsid w:val="00C1556F"/>
    <w:rsid w:val="00C17E0B"/>
    <w:rsid w:val="00C23FFA"/>
    <w:rsid w:val="00C30635"/>
    <w:rsid w:val="00C4055A"/>
    <w:rsid w:val="00C46AE2"/>
    <w:rsid w:val="00C57F1F"/>
    <w:rsid w:val="00C61843"/>
    <w:rsid w:val="00C62473"/>
    <w:rsid w:val="00C64514"/>
    <w:rsid w:val="00C93A5E"/>
    <w:rsid w:val="00C97A77"/>
    <w:rsid w:val="00CA06B8"/>
    <w:rsid w:val="00CA41B7"/>
    <w:rsid w:val="00CD42D0"/>
    <w:rsid w:val="00CE6E98"/>
    <w:rsid w:val="00CF1AE9"/>
    <w:rsid w:val="00CF1B4B"/>
    <w:rsid w:val="00CF2A6A"/>
    <w:rsid w:val="00D040C2"/>
    <w:rsid w:val="00D05058"/>
    <w:rsid w:val="00D06B5C"/>
    <w:rsid w:val="00D1595E"/>
    <w:rsid w:val="00D36224"/>
    <w:rsid w:val="00D424F8"/>
    <w:rsid w:val="00D5108E"/>
    <w:rsid w:val="00D84B81"/>
    <w:rsid w:val="00D8722E"/>
    <w:rsid w:val="00D91F51"/>
    <w:rsid w:val="00D944AF"/>
    <w:rsid w:val="00DC5707"/>
    <w:rsid w:val="00DC76C2"/>
    <w:rsid w:val="00DD0BC0"/>
    <w:rsid w:val="00DE3D89"/>
    <w:rsid w:val="00E1648F"/>
    <w:rsid w:val="00E46CC8"/>
    <w:rsid w:val="00E471FF"/>
    <w:rsid w:val="00E50F23"/>
    <w:rsid w:val="00E629B1"/>
    <w:rsid w:val="00E655F2"/>
    <w:rsid w:val="00E75716"/>
    <w:rsid w:val="00E866B6"/>
    <w:rsid w:val="00E9442A"/>
    <w:rsid w:val="00E96EA3"/>
    <w:rsid w:val="00EA2F9D"/>
    <w:rsid w:val="00ED69FE"/>
    <w:rsid w:val="00EF04CB"/>
    <w:rsid w:val="00F021F4"/>
    <w:rsid w:val="00F1164E"/>
    <w:rsid w:val="00F1232C"/>
    <w:rsid w:val="00F1565E"/>
    <w:rsid w:val="00F3789C"/>
    <w:rsid w:val="00F52B6B"/>
    <w:rsid w:val="00F56F78"/>
    <w:rsid w:val="00F64167"/>
    <w:rsid w:val="00F7421E"/>
    <w:rsid w:val="00F96559"/>
    <w:rsid w:val="00FC0CC1"/>
    <w:rsid w:val="00FD51C6"/>
    <w:rsid w:val="00FE3CE5"/>
    <w:rsid w:val="00FE4DD8"/>
    <w:rsid w:val="00FF1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Paragrafoelenco">
    <w:name w:val="List Paragraph"/>
    <w:basedOn w:val="Normale"/>
    <w:uiPriority w:val="34"/>
    <w:qFormat/>
    <w:rsid w:val="00FF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0174460">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739639551">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65762067">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 w:id="1799495889">
      <w:bodyDiv w:val="1"/>
      <w:marLeft w:val="0"/>
      <w:marRight w:val="0"/>
      <w:marTop w:val="0"/>
      <w:marBottom w:val="0"/>
      <w:divBdr>
        <w:top w:val="none" w:sz="0" w:space="0" w:color="auto"/>
        <w:left w:val="none" w:sz="0" w:space="0" w:color="auto"/>
        <w:bottom w:val="none" w:sz="0" w:space="0" w:color="auto"/>
        <w:right w:val="none" w:sz="0" w:space="0" w:color="auto"/>
      </w:divBdr>
    </w:div>
    <w:div w:id="1970357850">
      <w:bodyDiv w:val="1"/>
      <w:marLeft w:val="0"/>
      <w:marRight w:val="0"/>
      <w:marTop w:val="0"/>
      <w:marBottom w:val="0"/>
      <w:divBdr>
        <w:top w:val="none" w:sz="0" w:space="0" w:color="auto"/>
        <w:left w:val="none" w:sz="0" w:space="0" w:color="auto"/>
        <w:bottom w:val="none" w:sz="0" w:space="0" w:color="auto"/>
        <w:right w:val="none" w:sz="0" w:space="0" w:color="auto"/>
      </w:divBdr>
    </w:div>
    <w:div w:id="209350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978-981-16-71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23</cp:revision>
  <dcterms:created xsi:type="dcterms:W3CDTF">2021-11-26T15:07:00Z</dcterms:created>
  <dcterms:modified xsi:type="dcterms:W3CDTF">2022-06-29T10:55:00Z</dcterms:modified>
</cp:coreProperties>
</file>