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072D" w14:textId="77777777" w:rsidR="002F0333" w:rsidRDefault="002F0333">
      <w:pPr>
        <w:spacing w:after="0"/>
        <w:ind w:left="10" w:right="-4631" w:hanging="10"/>
        <w:rPr>
          <w:b/>
          <w:lang w:val="en-US"/>
        </w:rPr>
      </w:pPr>
    </w:p>
    <w:p w14:paraId="5F6C6113" w14:textId="77777777" w:rsidR="002F0333" w:rsidRDefault="002F0333">
      <w:pPr>
        <w:spacing w:after="0"/>
        <w:ind w:left="10" w:right="-4631" w:hanging="10"/>
        <w:rPr>
          <w:b/>
          <w:lang w:val="en-US"/>
        </w:rPr>
      </w:pPr>
    </w:p>
    <w:p w14:paraId="168A74D5" w14:textId="77777777" w:rsidR="002F0333" w:rsidRDefault="002F0333">
      <w:pPr>
        <w:spacing w:after="0"/>
        <w:ind w:left="10" w:right="-4631" w:hanging="10"/>
        <w:rPr>
          <w:b/>
          <w:lang w:val="en-US"/>
        </w:rPr>
      </w:pPr>
    </w:p>
    <w:p w14:paraId="4D54D347" w14:textId="08AE3DAB" w:rsidR="00826080" w:rsidRPr="00506C44" w:rsidRDefault="00826080" w:rsidP="00154E94">
      <w:pPr>
        <w:spacing w:after="0"/>
        <w:ind w:right="-4631"/>
        <w:rPr>
          <w:lang w:val="en-US"/>
        </w:rPr>
      </w:pPr>
    </w:p>
    <w:p w14:paraId="4A3A326B" w14:textId="77777777" w:rsidR="00826080" w:rsidRPr="00506C44" w:rsidRDefault="00EA2F9D">
      <w:pPr>
        <w:spacing w:after="0"/>
        <w:ind w:left="4062"/>
        <w:rPr>
          <w:lang w:val="en-US"/>
        </w:rPr>
      </w:pPr>
      <w:r w:rsidRPr="00506C44">
        <w:rPr>
          <w:b/>
          <w:lang w:val="en-US"/>
        </w:rPr>
        <w:t xml:space="preserve"> </w:t>
      </w:r>
    </w:p>
    <w:p w14:paraId="35AD14BA" w14:textId="77777777" w:rsidR="00826080" w:rsidRPr="00506C44" w:rsidRDefault="00EA2F9D">
      <w:pPr>
        <w:spacing w:after="0"/>
        <w:ind w:left="51"/>
        <w:jc w:val="center"/>
        <w:rPr>
          <w:lang w:val="en-US"/>
        </w:rPr>
      </w:pPr>
      <w:r w:rsidRPr="00506C44">
        <w:rPr>
          <w:b/>
          <w:lang w:val="en-US"/>
        </w:rPr>
        <w:t xml:space="preserve"> </w:t>
      </w:r>
    </w:p>
    <w:p w14:paraId="4C0105F3" w14:textId="4B6438D8" w:rsidR="00826080" w:rsidRPr="00506C44" w:rsidRDefault="00EA2F9D">
      <w:pPr>
        <w:spacing w:after="202"/>
        <w:ind w:right="4"/>
        <w:jc w:val="center"/>
        <w:rPr>
          <w:lang w:val="en-US"/>
        </w:rPr>
      </w:pPr>
      <w:r w:rsidRPr="00506C44">
        <w:rPr>
          <w:b/>
          <w:sz w:val="24"/>
          <w:lang w:val="en-US"/>
        </w:rPr>
        <w:t xml:space="preserve">QUALITY ASSESSMENT BY EU PARTNERS (PARTNER </w:t>
      </w:r>
      <w:r w:rsidR="0065311D">
        <w:rPr>
          <w:b/>
          <w:sz w:val="24"/>
          <w:lang w:val="en-US"/>
        </w:rPr>
        <w:t>University of Catania</w:t>
      </w:r>
      <w:r w:rsidRPr="00506C44">
        <w:rPr>
          <w:b/>
          <w:sz w:val="24"/>
          <w:lang w:val="en-US"/>
        </w:rPr>
        <w:t xml:space="preserve">) </w:t>
      </w:r>
    </w:p>
    <w:p w14:paraId="51D5A25C" w14:textId="3D535B53" w:rsidR="00154E94" w:rsidRDefault="00821BF0">
      <w:pPr>
        <w:pStyle w:val="Titolo1"/>
        <w:rPr>
          <w:lang w:val="en-US"/>
        </w:rPr>
      </w:pPr>
      <w:r>
        <w:rPr>
          <w:lang w:val="en-US"/>
        </w:rPr>
        <w:t xml:space="preserve"> course</w:t>
      </w:r>
      <w:r w:rsidR="00EA2F9D" w:rsidRPr="00506C44">
        <w:rPr>
          <w:lang w:val="en-US"/>
        </w:rPr>
        <w:t>: “</w:t>
      </w:r>
      <w:r w:rsidR="00E614AC" w:rsidRPr="00E614AC">
        <w:rPr>
          <w:rStyle w:val="apple-converted-space"/>
          <w:rFonts w:ascii="Times New Roman" w:hAnsi="Times New Roman" w:cs="Times New Roman"/>
          <w:color w:val="000000"/>
          <w:sz w:val="24"/>
          <w:shd w:val="clear" w:color="auto" w:fill="FFFFFF"/>
          <w:lang w:val="en-US"/>
        </w:rPr>
        <w:t>Laws, Policies and Guidelines promoting Green and Blue Infrastructure</w:t>
      </w:r>
      <w:r w:rsidR="00EA2F9D" w:rsidRPr="00506C44">
        <w:rPr>
          <w:lang w:val="en-US"/>
        </w:rPr>
        <w:t>”</w:t>
      </w:r>
    </w:p>
    <w:p w14:paraId="0816A9F0" w14:textId="4FC582EE" w:rsidR="00367411" w:rsidRPr="00A83ECF" w:rsidRDefault="00E614AC" w:rsidP="00A83ECF">
      <w:pPr>
        <w:pStyle w:val="Titolo1"/>
        <w:rPr>
          <w:lang w:val="en-US"/>
        </w:rPr>
      </w:pPr>
      <w:proofErr w:type="spellStart"/>
      <w:r w:rsidRPr="00E614AC">
        <w:rPr>
          <w:lang w:val="en-US"/>
        </w:rPr>
        <w:t>Nirma</w:t>
      </w:r>
      <w:proofErr w:type="spellEnd"/>
      <w:r w:rsidRPr="00E614AC">
        <w:rPr>
          <w:lang w:val="en-US"/>
        </w:rPr>
        <w:t xml:space="preserve"> University</w:t>
      </w:r>
    </w:p>
    <w:p w14:paraId="776430D9" w14:textId="30E07958" w:rsidR="00826080" w:rsidRPr="00506C44" w:rsidRDefault="00E614AC">
      <w:pPr>
        <w:pStyle w:val="Titolo1"/>
        <w:rPr>
          <w:lang w:val="en-US"/>
        </w:rPr>
      </w:pPr>
      <w:r>
        <w:rPr>
          <w:color w:val="000000"/>
          <w:lang w:val="en-US"/>
        </w:rPr>
        <w:t>Online Course</w:t>
      </w:r>
    </w:p>
    <w:p w14:paraId="59B2EDC4" w14:textId="77777777" w:rsidR="00826080" w:rsidRPr="00506C44" w:rsidRDefault="00EA2F9D">
      <w:pPr>
        <w:spacing w:after="0"/>
        <w:rPr>
          <w:lang w:val="en-US"/>
        </w:rPr>
      </w:pPr>
      <w:r w:rsidRPr="00506C44">
        <w:rPr>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826080" w14:paraId="184D364A" w14:textId="77777777">
        <w:trPr>
          <w:trHeight w:val="278"/>
        </w:trPr>
        <w:tc>
          <w:tcPr>
            <w:tcW w:w="9627" w:type="dxa"/>
            <w:tcBorders>
              <w:top w:val="single" w:sz="4" w:space="0" w:color="000000"/>
              <w:left w:val="single" w:sz="4" w:space="0" w:color="000000"/>
              <w:bottom w:val="single" w:sz="4" w:space="0" w:color="000000"/>
              <w:right w:val="single" w:sz="4" w:space="0" w:color="000000"/>
            </w:tcBorders>
            <w:shd w:val="clear" w:color="auto" w:fill="1F3864"/>
            <w:tcMar>
              <w:top w:w="44" w:type="dxa"/>
              <w:left w:w="55" w:type="dxa"/>
              <w:bottom w:w="0" w:type="dxa"/>
              <w:right w:w="59" w:type="dxa"/>
            </w:tcMar>
          </w:tcPr>
          <w:p w14:paraId="405858A3" w14:textId="77777777" w:rsidR="00826080" w:rsidRDefault="00EA2F9D">
            <w:pPr>
              <w:spacing w:after="0"/>
              <w:ind w:left="53"/>
            </w:pPr>
            <w:r>
              <w:rPr>
                <w:b/>
                <w:color w:val="FFFFFF"/>
              </w:rPr>
              <w:t xml:space="preserve">QUALITY ASSESSMENT </w:t>
            </w:r>
          </w:p>
        </w:tc>
      </w:tr>
      <w:tr w:rsidR="00826080" w:rsidRPr="002A797D" w14:paraId="5D4BFFA8" w14:textId="77777777">
        <w:trPr>
          <w:trHeight w:val="497"/>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5287CE3" w14:textId="77777777" w:rsidR="00826080" w:rsidRPr="00506C44" w:rsidRDefault="00EA2F9D">
            <w:pPr>
              <w:spacing w:after="0"/>
              <w:ind w:left="53"/>
              <w:jc w:val="both"/>
              <w:rPr>
                <w:lang w:val="en-US"/>
              </w:rPr>
            </w:pPr>
            <w:r w:rsidRPr="00506C44">
              <w:rPr>
                <w:color w:val="002060"/>
                <w:sz w:val="20"/>
                <w:lang w:val="en-US"/>
              </w:rPr>
              <w:t xml:space="preserve">Quality criteria 1: Number of credit units for lectures, practical sessions and self-learning are appropriate to the contents </w:t>
            </w:r>
          </w:p>
        </w:tc>
      </w:tr>
      <w:tr w:rsidR="00B90AD1" w:rsidRPr="00B90AD1" w14:paraId="1D4B2DC1" w14:textId="77777777" w:rsidTr="00D36224">
        <w:trPr>
          <w:trHeight w:val="309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4FA6305E" w14:textId="77777777" w:rsidR="00B90AD1" w:rsidRPr="00971147" w:rsidRDefault="00B90AD1" w:rsidP="00B90AD1">
            <w:pPr>
              <w:numPr>
                <w:ilvl w:val="0"/>
                <w:numId w:val="1"/>
              </w:numPr>
              <w:spacing w:after="0"/>
              <w:ind w:hanging="360"/>
              <w:rPr>
                <w:color w:val="auto"/>
              </w:rPr>
            </w:pPr>
            <w:r w:rsidRPr="00971147">
              <w:rPr>
                <w:i/>
                <w:color w:val="auto"/>
                <w:sz w:val="20"/>
              </w:rPr>
              <w:t xml:space="preserve">Evaluation </w:t>
            </w:r>
          </w:p>
          <w:p w14:paraId="359A5499" w14:textId="5665F611" w:rsidR="00B90AD1" w:rsidRPr="00971147" w:rsidRDefault="00B90AD1" w:rsidP="00B90AD1">
            <w:pPr>
              <w:spacing w:after="0"/>
              <w:rPr>
                <w:color w:val="auto"/>
                <w:lang w:val="en-US"/>
              </w:rPr>
            </w:pPr>
            <w:r w:rsidRPr="00971147">
              <w:rPr>
                <w:color w:val="auto"/>
                <w:lang w:val="en-US"/>
              </w:rPr>
              <w:t xml:space="preserve">The foreseen </w:t>
            </w:r>
            <w:r>
              <w:rPr>
                <w:color w:val="auto"/>
                <w:lang w:val="en-US"/>
              </w:rPr>
              <w:t>topi</w:t>
            </w:r>
            <w:r w:rsidR="002A797D">
              <w:rPr>
                <w:color w:val="auto"/>
                <w:lang w:val="en-US"/>
              </w:rPr>
              <w:t xml:space="preserve">cs </w:t>
            </w:r>
            <w:r w:rsidRPr="00971147">
              <w:rPr>
                <w:color w:val="auto"/>
                <w:lang w:val="en-US"/>
              </w:rPr>
              <w:t xml:space="preserve">give to the students a </w:t>
            </w:r>
            <w:r w:rsidR="002A797D">
              <w:rPr>
                <w:color w:val="auto"/>
                <w:lang w:val="en-US"/>
              </w:rPr>
              <w:t xml:space="preserve">good </w:t>
            </w:r>
            <w:r w:rsidRPr="00971147">
              <w:rPr>
                <w:color w:val="auto"/>
                <w:lang w:val="en-US"/>
              </w:rPr>
              <w:t xml:space="preserve">background about the most relevant </w:t>
            </w:r>
            <w:r w:rsidR="002A797D">
              <w:rPr>
                <w:color w:val="auto"/>
                <w:lang w:val="en-US"/>
              </w:rPr>
              <w:t xml:space="preserve">policies to promote and create Green and Blues </w:t>
            </w:r>
            <w:r w:rsidRPr="00971147">
              <w:rPr>
                <w:color w:val="auto"/>
                <w:lang w:val="en-US"/>
              </w:rPr>
              <w:t xml:space="preserve">infrastructure </w:t>
            </w:r>
            <w:r w:rsidR="002A797D">
              <w:rPr>
                <w:color w:val="auto"/>
                <w:lang w:val="en-US"/>
              </w:rPr>
              <w:t>in cities.</w:t>
            </w:r>
          </w:p>
          <w:p w14:paraId="79DBD422" w14:textId="77777777" w:rsidR="00B90AD1" w:rsidRPr="00971147" w:rsidRDefault="00B90AD1" w:rsidP="00B90AD1">
            <w:pPr>
              <w:spacing w:after="0"/>
              <w:jc w:val="both"/>
              <w:rPr>
                <w:color w:val="auto"/>
                <w:sz w:val="20"/>
                <w:lang w:val="en-US"/>
              </w:rPr>
            </w:pPr>
            <w:bookmarkStart w:id="0" w:name="_GoBack"/>
            <w:bookmarkEnd w:id="0"/>
          </w:p>
          <w:p w14:paraId="016624CD" w14:textId="77777777" w:rsidR="00B90AD1" w:rsidRPr="00971147" w:rsidRDefault="00B90AD1" w:rsidP="00B90AD1">
            <w:pPr>
              <w:numPr>
                <w:ilvl w:val="0"/>
                <w:numId w:val="1"/>
              </w:numPr>
              <w:spacing w:after="0"/>
              <w:ind w:hanging="360"/>
              <w:rPr>
                <w:color w:val="auto"/>
              </w:rPr>
            </w:pPr>
            <w:proofErr w:type="spellStart"/>
            <w:r w:rsidRPr="00971147">
              <w:rPr>
                <w:i/>
                <w:color w:val="auto"/>
                <w:sz w:val="20"/>
              </w:rPr>
              <w:t>Strategies</w:t>
            </w:r>
            <w:proofErr w:type="spellEnd"/>
            <w:r w:rsidRPr="00971147">
              <w:rPr>
                <w:i/>
                <w:color w:val="auto"/>
                <w:sz w:val="20"/>
              </w:rPr>
              <w:t xml:space="preserve"> for improvement </w:t>
            </w:r>
          </w:p>
          <w:p w14:paraId="0646DDAF" w14:textId="77777777" w:rsidR="00170E84" w:rsidRDefault="00170E84" w:rsidP="00B90AD1">
            <w:pPr>
              <w:spacing w:after="0"/>
              <w:rPr>
                <w:color w:val="auto"/>
                <w:lang w:val="en-US"/>
              </w:rPr>
            </w:pPr>
            <w:r>
              <w:rPr>
                <w:color w:val="auto"/>
                <w:lang w:val="en-US"/>
              </w:rPr>
              <w:t>Key policy instruments about Green and Blue Infrastructure can be added such as.</w:t>
            </w:r>
          </w:p>
          <w:p w14:paraId="40585062" w14:textId="754D50D4" w:rsidR="00170E84" w:rsidRPr="00170E84" w:rsidRDefault="00170E84" w:rsidP="00170E84">
            <w:pPr>
              <w:pStyle w:val="Paragrafoelenco"/>
              <w:numPr>
                <w:ilvl w:val="0"/>
                <w:numId w:val="6"/>
              </w:numPr>
              <w:spacing w:after="0"/>
              <w:rPr>
                <w:i/>
                <w:color w:val="auto"/>
                <w:lang w:val="en-US"/>
              </w:rPr>
            </w:pPr>
            <w:r w:rsidRPr="00170E84">
              <w:rPr>
                <w:i/>
                <w:color w:val="auto"/>
                <w:lang w:val="en-US"/>
              </w:rPr>
              <w:t xml:space="preserve">Transfer of development right concept </w:t>
            </w:r>
          </w:p>
          <w:p w14:paraId="742BA697" w14:textId="3B188FB1" w:rsidR="00170E84" w:rsidRDefault="00170E84" w:rsidP="00170E84">
            <w:pPr>
              <w:spacing w:after="0"/>
              <w:ind w:left="360"/>
              <w:rPr>
                <w:color w:val="auto"/>
                <w:lang w:val="en-US"/>
              </w:rPr>
            </w:pPr>
            <w:r>
              <w:rPr>
                <w:color w:val="auto"/>
                <w:lang w:val="en-US"/>
              </w:rPr>
              <w:t>References:</w:t>
            </w:r>
          </w:p>
          <w:p w14:paraId="2A25CC63" w14:textId="2E2C0D47" w:rsidR="00170E84" w:rsidRDefault="00170E84" w:rsidP="00170E84">
            <w:pPr>
              <w:spacing w:after="0"/>
              <w:ind w:left="360"/>
              <w:rPr>
                <w:color w:val="auto"/>
                <w:lang w:val="en-US"/>
              </w:rPr>
            </w:pPr>
            <w:r w:rsidRPr="00170E84">
              <w:rPr>
                <w:color w:val="auto"/>
                <w:lang w:val="en-US"/>
              </w:rPr>
              <w:t xml:space="preserve">Nelson, A.C.; </w:t>
            </w:r>
            <w:proofErr w:type="spellStart"/>
            <w:r w:rsidRPr="00170E84">
              <w:rPr>
                <w:color w:val="auto"/>
                <w:lang w:val="en-US"/>
              </w:rPr>
              <w:t>Pruetz</w:t>
            </w:r>
            <w:proofErr w:type="spellEnd"/>
            <w:r w:rsidRPr="00170E84">
              <w:rPr>
                <w:color w:val="auto"/>
                <w:lang w:val="en-US"/>
              </w:rPr>
              <w:t xml:space="preserve">, R.; Woodruff, D.; Nicholas, J.C.; </w:t>
            </w:r>
            <w:proofErr w:type="spellStart"/>
            <w:r w:rsidRPr="00170E84">
              <w:rPr>
                <w:color w:val="auto"/>
                <w:lang w:val="en-US"/>
              </w:rPr>
              <w:t>Juergensmeyer</w:t>
            </w:r>
            <w:proofErr w:type="spellEnd"/>
            <w:r w:rsidRPr="00170E84">
              <w:rPr>
                <w:color w:val="auto"/>
                <w:lang w:val="en-US"/>
              </w:rPr>
              <w:t>, J.C.; Witten, J. The TDR Handbook—Designing and Implementing Transfer of Development Rights Programs; Island Press: Washington, DC, USA, 2012; p. 344, ISBN 978-1597269810.</w:t>
            </w:r>
          </w:p>
          <w:p w14:paraId="1191F65A" w14:textId="67FD9270" w:rsidR="00170E84" w:rsidRPr="00170E84" w:rsidRDefault="00170E84" w:rsidP="00170E84">
            <w:pPr>
              <w:spacing w:after="0"/>
              <w:ind w:left="360"/>
              <w:rPr>
                <w:color w:val="auto"/>
                <w:lang w:val="en-US"/>
              </w:rPr>
            </w:pPr>
            <w:proofErr w:type="spellStart"/>
            <w:r w:rsidRPr="00170E84">
              <w:rPr>
                <w:color w:val="auto"/>
                <w:lang w:val="en-US"/>
              </w:rPr>
              <w:t>Martinico</w:t>
            </w:r>
            <w:proofErr w:type="spellEnd"/>
            <w:r w:rsidRPr="00170E84">
              <w:rPr>
                <w:color w:val="auto"/>
                <w:lang w:val="en-US"/>
              </w:rPr>
              <w:t xml:space="preserve">, F.; La Rosa, D.; </w:t>
            </w:r>
            <w:proofErr w:type="spellStart"/>
            <w:r w:rsidRPr="00170E84">
              <w:rPr>
                <w:color w:val="auto"/>
                <w:lang w:val="en-US"/>
              </w:rPr>
              <w:t>Privitera</w:t>
            </w:r>
            <w:proofErr w:type="spellEnd"/>
            <w:r w:rsidRPr="00170E84">
              <w:rPr>
                <w:color w:val="auto"/>
                <w:lang w:val="en-US"/>
              </w:rPr>
              <w:t xml:space="preserve">, R. Green oriented urban development for urban ecosystem services provision in a medium sized city in southern Italy. </w:t>
            </w:r>
            <w:proofErr w:type="spellStart"/>
            <w:r w:rsidRPr="00170E84">
              <w:rPr>
                <w:color w:val="auto"/>
                <w:lang w:val="en-US"/>
              </w:rPr>
              <w:t>iForest</w:t>
            </w:r>
            <w:proofErr w:type="spellEnd"/>
            <w:r w:rsidRPr="00170E84">
              <w:rPr>
                <w:color w:val="auto"/>
                <w:lang w:val="en-US"/>
              </w:rPr>
              <w:t xml:space="preserve"> 2014, 7, 385–395.</w:t>
            </w:r>
          </w:p>
          <w:p w14:paraId="384D3DDC" w14:textId="0D43AE05" w:rsidR="00170E84" w:rsidRDefault="00170E84" w:rsidP="00170E84">
            <w:pPr>
              <w:spacing w:after="0"/>
              <w:ind w:left="360"/>
              <w:rPr>
                <w:color w:val="auto"/>
                <w:lang w:val="en-US"/>
              </w:rPr>
            </w:pPr>
            <w:r w:rsidRPr="00170E84">
              <w:rPr>
                <w:color w:val="auto"/>
                <w:lang w:val="en-US"/>
              </w:rPr>
              <w:t xml:space="preserve">Pruetz, R.; </w:t>
            </w:r>
            <w:proofErr w:type="spellStart"/>
            <w:r w:rsidRPr="00170E84">
              <w:rPr>
                <w:color w:val="auto"/>
                <w:lang w:val="en-US"/>
              </w:rPr>
              <w:t>Pruetz</w:t>
            </w:r>
            <w:proofErr w:type="spellEnd"/>
            <w:r w:rsidRPr="00170E84">
              <w:rPr>
                <w:color w:val="auto"/>
                <w:lang w:val="en-US"/>
              </w:rPr>
              <w:t>, E. Transfer of Development Rights Turns 40. Plan. Environ. Law 2007, 59, 3–11.</w:t>
            </w:r>
          </w:p>
          <w:p w14:paraId="7877B368" w14:textId="77777777" w:rsidR="00170E84" w:rsidRPr="00170E84" w:rsidRDefault="00170E84" w:rsidP="00170E84">
            <w:pPr>
              <w:spacing w:after="0"/>
              <w:ind w:left="360"/>
              <w:rPr>
                <w:color w:val="auto"/>
                <w:lang w:val="en-US"/>
              </w:rPr>
            </w:pPr>
          </w:p>
          <w:p w14:paraId="73A7AFE4" w14:textId="05B6DA6E" w:rsidR="00B90AD1" w:rsidRPr="00170E84" w:rsidRDefault="00170E84" w:rsidP="00170E84">
            <w:pPr>
              <w:pStyle w:val="Paragrafoelenco"/>
              <w:numPr>
                <w:ilvl w:val="0"/>
                <w:numId w:val="6"/>
              </w:numPr>
              <w:spacing w:after="0"/>
              <w:rPr>
                <w:i/>
                <w:lang w:val="en-US"/>
              </w:rPr>
            </w:pPr>
            <w:r w:rsidRPr="00170E84">
              <w:rPr>
                <w:i/>
                <w:color w:val="auto"/>
                <w:lang w:val="en-US"/>
              </w:rPr>
              <w:t>Policy for NBS such as Sustainable Urban drainage systems</w:t>
            </w:r>
          </w:p>
          <w:p w14:paraId="4FB3D90D" w14:textId="77777777" w:rsidR="00170E84" w:rsidRDefault="00170E84" w:rsidP="00170E84">
            <w:pPr>
              <w:spacing w:after="0"/>
              <w:ind w:left="360"/>
              <w:rPr>
                <w:lang w:val="en-US"/>
              </w:rPr>
            </w:pPr>
            <w:r>
              <w:rPr>
                <w:lang w:val="en-US"/>
              </w:rPr>
              <w:t>References:</w:t>
            </w:r>
          </w:p>
          <w:p w14:paraId="52E66A94" w14:textId="77777777" w:rsidR="00170E84" w:rsidRPr="00170E84" w:rsidRDefault="00170E84" w:rsidP="00170E84">
            <w:pPr>
              <w:spacing w:after="0"/>
              <w:ind w:left="360"/>
              <w:rPr>
                <w:color w:val="auto"/>
                <w:lang w:val="en-US"/>
              </w:rPr>
            </w:pPr>
            <w:r w:rsidRPr="00170E84">
              <w:rPr>
                <w:color w:val="auto"/>
                <w:lang w:val="en-US"/>
              </w:rPr>
              <w:t>EPA-United States Environmental Protection Agency (2014), Getting to Green: Paying for Green Infrastructure Financing Options and Resources for Local Decision-Makers. EPA 842-R-14-005</w:t>
            </w:r>
          </w:p>
          <w:p w14:paraId="3D30AE1C" w14:textId="4D54F7D1" w:rsidR="00170E84" w:rsidRPr="00170E84" w:rsidRDefault="00170E84" w:rsidP="00170E84">
            <w:pPr>
              <w:spacing w:after="0"/>
              <w:ind w:left="360"/>
              <w:rPr>
                <w:color w:val="auto"/>
                <w:lang w:val="en-US"/>
              </w:rPr>
            </w:pPr>
            <w:proofErr w:type="spellStart"/>
            <w:r w:rsidRPr="00170E84">
              <w:rPr>
                <w:color w:val="auto"/>
                <w:lang w:val="en-US"/>
              </w:rPr>
              <w:t>Filatova</w:t>
            </w:r>
            <w:proofErr w:type="spellEnd"/>
            <w:r w:rsidRPr="00170E84">
              <w:rPr>
                <w:color w:val="auto"/>
                <w:lang w:val="en-US"/>
              </w:rPr>
              <w:t>, T., (2014) Market-based instruments for flood risk management: A review of theory, practice and perspectives for climate adaptation policy. Environmental Science and Policy, 37:227-242</w:t>
            </w:r>
          </w:p>
          <w:p w14:paraId="4AA27EDD" w14:textId="2947A925" w:rsidR="00170E84" w:rsidRDefault="00170E84" w:rsidP="00170E84">
            <w:pPr>
              <w:spacing w:after="0"/>
              <w:ind w:left="360"/>
              <w:rPr>
                <w:lang w:val="en-US"/>
              </w:rPr>
            </w:pPr>
            <w:proofErr w:type="spellStart"/>
            <w:r w:rsidRPr="002A797D">
              <w:rPr>
                <w:lang w:val="en-US"/>
              </w:rPr>
              <w:t>Pappalardo</w:t>
            </w:r>
            <w:proofErr w:type="spellEnd"/>
            <w:r w:rsidRPr="002A797D">
              <w:rPr>
                <w:lang w:val="en-US"/>
              </w:rPr>
              <w:t xml:space="preserve"> V., La Rosa D., (2019). </w:t>
            </w:r>
            <w:r w:rsidRPr="00170E84">
              <w:rPr>
                <w:lang w:val="en-US"/>
              </w:rPr>
              <w:t xml:space="preserve">Policies for Sustainable Drainage Systems in urban contexts within performance-based planning approaches. Sustainable Cities and Society, 101830, </w:t>
            </w:r>
            <w:hyperlink r:id="rId7" w:history="1">
              <w:r w:rsidRPr="00FE5DAB">
                <w:rPr>
                  <w:rStyle w:val="Collegamentoipertestuale"/>
                  <w:lang w:val="en-US"/>
                </w:rPr>
                <w:t>https://doi.org/10.1016/j.scs.2019.101830</w:t>
              </w:r>
            </w:hyperlink>
          </w:p>
          <w:p w14:paraId="23EEDAC3" w14:textId="32C85646" w:rsidR="00170E84" w:rsidRPr="00170E84" w:rsidRDefault="00170E84" w:rsidP="00170E84">
            <w:pPr>
              <w:spacing w:after="0"/>
              <w:ind w:left="360"/>
              <w:rPr>
                <w:lang w:val="en-US"/>
              </w:rPr>
            </w:pPr>
          </w:p>
        </w:tc>
      </w:tr>
      <w:tr w:rsidR="00B90AD1" w:rsidRPr="002A797D" w14:paraId="3B495CF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8270074" w14:textId="610F67A2" w:rsidR="00B90AD1" w:rsidRPr="00506C44" w:rsidRDefault="00B90AD1" w:rsidP="00B90AD1">
            <w:pPr>
              <w:spacing w:after="0"/>
              <w:ind w:left="53"/>
              <w:rPr>
                <w:lang w:val="en-US"/>
              </w:rPr>
            </w:pPr>
            <w:r w:rsidRPr="00773A01">
              <w:rPr>
                <w:color w:val="002060"/>
                <w:sz w:val="20"/>
                <w:lang w:val="en-US"/>
              </w:rPr>
              <w:t xml:space="preserve">Quality criteria 2: Total number of credit units in the course is correct and appropriate </w:t>
            </w:r>
          </w:p>
        </w:tc>
      </w:tr>
      <w:tr w:rsidR="00B90AD1" w:rsidRPr="002A797D" w14:paraId="2FC717B8" w14:textId="77777777">
        <w:trPr>
          <w:trHeight w:val="178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723BBED8" w14:textId="77777777" w:rsidR="00B90AD1" w:rsidRPr="00773A01" w:rsidRDefault="00B90AD1" w:rsidP="00B90AD1">
            <w:pPr>
              <w:numPr>
                <w:ilvl w:val="0"/>
                <w:numId w:val="2"/>
              </w:numPr>
              <w:spacing w:after="0"/>
              <w:ind w:hanging="360"/>
            </w:pPr>
            <w:r w:rsidRPr="00773A01">
              <w:rPr>
                <w:i/>
                <w:sz w:val="20"/>
              </w:rPr>
              <w:t xml:space="preserve">Evaluation </w:t>
            </w:r>
          </w:p>
          <w:p w14:paraId="4A9B9BB9" w14:textId="449F75E2" w:rsidR="00405479" w:rsidRDefault="00405479" w:rsidP="00B90AD1">
            <w:pPr>
              <w:spacing w:after="0"/>
              <w:rPr>
                <w:lang w:val="en-US"/>
              </w:rPr>
            </w:pPr>
            <w:r>
              <w:rPr>
                <w:lang w:val="en-US"/>
              </w:rPr>
              <w:t>The distribution of hours between lectures (60 hours) and independent work (12 hours) is a bit unbalanced in terms of hours, even if the nature of this course is an online course</w:t>
            </w:r>
          </w:p>
          <w:p w14:paraId="44A16DC8" w14:textId="77777777" w:rsidR="00B90AD1" w:rsidRPr="00773A01" w:rsidRDefault="00B90AD1" w:rsidP="00405479">
            <w:pPr>
              <w:spacing w:after="22"/>
              <w:rPr>
                <w:rStyle w:val="jlqj4b"/>
                <w:lang w:val="en"/>
              </w:rPr>
            </w:pPr>
          </w:p>
          <w:p w14:paraId="7FFD7D2D" w14:textId="77777777" w:rsidR="00B90AD1" w:rsidRPr="00773A01" w:rsidRDefault="00B90AD1" w:rsidP="00B90AD1">
            <w:pPr>
              <w:spacing w:after="22"/>
              <w:ind w:left="53"/>
              <w:rPr>
                <w:lang w:val="en-US"/>
              </w:rPr>
            </w:pPr>
            <w:r w:rsidRPr="00773A01">
              <w:rPr>
                <w:i/>
                <w:sz w:val="20"/>
                <w:lang w:val="en-US"/>
              </w:rPr>
              <w:t xml:space="preserve">Strategies for improvement </w:t>
            </w:r>
            <w:r w:rsidRPr="00773A01">
              <w:rPr>
                <w:lang w:val="en-US"/>
              </w:rPr>
              <w:t xml:space="preserve"> </w:t>
            </w:r>
          </w:p>
          <w:p w14:paraId="24AC893F" w14:textId="13BE18EC" w:rsidR="00B90AD1" w:rsidRDefault="00405479" w:rsidP="00B90AD1">
            <w:pPr>
              <w:spacing w:after="22"/>
              <w:rPr>
                <w:lang w:val="en-US"/>
              </w:rPr>
            </w:pPr>
            <w:r>
              <w:rPr>
                <w:lang w:val="en-US"/>
              </w:rPr>
              <w:t>Some more hours for home activities and/or independent work should be added</w:t>
            </w:r>
          </w:p>
          <w:p w14:paraId="7791CF35" w14:textId="6A283CAC" w:rsidR="00B90AD1" w:rsidRPr="00225F33" w:rsidRDefault="00B90AD1" w:rsidP="00B90AD1">
            <w:pPr>
              <w:spacing w:after="22"/>
              <w:rPr>
                <w:lang w:val="en-US"/>
              </w:rPr>
            </w:pPr>
          </w:p>
        </w:tc>
      </w:tr>
      <w:tr w:rsidR="00B90AD1" w:rsidRPr="002A797D" w14:paraId="20A61C3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03E5C43D" w14:textId="77777777" w:rsidR="00B90AD1" w:rsidRPr="00506C44" w:rsidRDefault="00B90AD1" w:rsidP="00B90AD1">
            <w:pPr>
              <w:spacing w:after="0"/>
              <w:ind w:left="53"/>
              <w:rPr>
                <w:lang w:val="en-US"/>
              </w:rPr>
            </w:pPr>
            <w:r w:rsidRPr="00506C44">
              <w:rPr>
                <w:color w:val="002060"/>
                <w:sz w:val="20"/>
                <w:lang w:val="en-US"/>
              </w:rPr>
              <w:t xml:space="preserve">Quality criteria 3: Positioning of the courses in Curricula is appropriate based on the progressive level of difficulty </w:t>
            </w:r>
          </w:p>
        </w:tc>
      </w:tr>
      <w:tr w:rsidR="00B90AD1" w:rsidRPr="00E614AC" w14:paraId="53B2313B" w14:textId="77777777">
        <w:trPr>
          <w:trHeight w:val="2251"/>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F94814F" w14:textId="77777777" w:rsidR="00B90AD1" w:rsidRPr="00555B50" w:rsidRDefault="00B90AD1" w:rsidP="00B90AD1">
            <w:pPr>
              <w:numPr>
                <w:ilvl w:val="0"/>
                <w:numId w:val="3"/>
              </w:numPr>
              <w:spacing w:after="0"/>
              <w:ind w:hanging="360"/>
              <w:rPr>
                <w:color w:val="auto"/>
              </w:rPr>
            </w:pPr>
            <w:r w:rsidRPr="00555B50">
              <w:rPr>
                <w:i/>
                <w:color w:val="auto"/>
                <w:sz w:val="20"/>
              </w:rPr>
              <w:lastRenderedPageBreak/>
              <w:t xml:space="preserve">Evaluation </w:t>
            </w:r>
          </w:p>
          <w:p w14:paraId="1F3170B1" w14:textId="5C852A98" w:rsidR="00B90AD1" w:rsidRPr="00E614AC" w:rsidRDefault="00170E84" w:rsidP="00B90AD1">
            <w:pPr>
              <w:spacing w:after="43"/>
              <w:ind w:right="45"/>
              <w:jc w:val="both"/>
              <w:rPr>
                <w:iCs/>
                <w:color w:val="auto"/>
                <w:lang w:val="en-US"/>
              </w:rPr>
            </w:pPr>
            <w:r>
              <w:rPr>
                <w:iCs/>
                <w:color w:val="auto"/>
                <w:lang w:val="en-US"/>
              </w:rPr>
              <w:t>Open Online course open to different students or professionals</w:t>
            </w:r>
          </w:p>
          <w:p w14:paraId="1FAFBA96" w14:textId="77777777" w:rsidR="00B90AD1" w:rsidRPr="00555B50" w:rsidRDefault="00B90AD1" w:rsidP="00B90AD1">
            <w:pPr>
              <w:spacing w:after="0"/>
              <w:ind w:left="360"/>
              <w:rPr>
                <w:color w:val="auto"/>
                <w:lang w:val="en-US"/>
              </w:rPr>
            </w:pPr>
          </w:p>
          <w:p w14:paraId="46BD0A98" w14:textId="6EDFEDB9" w:rsidR="00B90AD1" w:rsidRPr="00555B50" w:rsidRDefault="00B90AD1" w:rsidP="00B90AD1">
            <w:pPr>
              <w:numPr>
                <w:ilvl w:val="0"/>
                <w:numId w:val="3"/>
              </w:numPr>
              <w:spacing w:after="0"/>
              <w:ind w:hanging="360"/>
              <w:rPr>
                <w:color w:val="auto"/>
              </w:rPr>
            </w:pPr>
            <w:proofErr w:type="spellStart"/>
            <w:r w:rsidRPr="00555B50">
              <w:rPr>
                <w:i/>
                <w:color w:val="auto"/>
                <w:sz w:val="20"/>
              </w:rPr>
              <w:t>Strategies</w:t>
            </w:r>
            <w:proofErr w:type="spellEnd"/>
            <w:r w:rsidRPr="00555B50">
              <w:rPr>
                <w:i/>
                <w:color w:val="auto"/>
                <w:sz w:val="20"/>
              </w:rPr>
              <w:t xml:space="preserve"> for improvement </w:t>
            </w:r>
          </w:p>
          <w:p w14:paraId="5D4C5052" w14:textId="0E0BAA61" w:rsidR="00B90AD1" w:rsidRPr="00170E84" w:rsidRDefault="00170E84" w:rsidP="00170E84">
            <w:pPr>
              <w:spacing w:after="43"/>
              <w:ind w:right="45"/>
              <w:jc w:val="both"/>
              <w:rPr>
                <w:iCs/>
                <w:color w:val="auto"/>
                <w:lang w:val="en-US"/>
              </w:rPr>
            </w:pPr>
            <w:r>
              <w:rPr>
                <w:iCs/>
                <w:color w:val="auto"/>
                <w:lang w:val="en-US"/>
              </w:rPr>
              <w:t>None</w:t>
            </w:r>
          </w:p>
        </w:tc>
      </w:tr>
      <w:tr w:rsidR="00B90AD1" w:rsidRPr="002A797D" w14:paraId="524A39E7" w14:textId="77777777" w:rsidTr="00A05ACD">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55BD17E3" w14:textId="6672B89F" w:rsidR="00B90AD1" w:rsidRPr="00555B50" w:rsidRDefault="00B90AD1" w:rsidP="00B90AD1">
            <w:pPr>
              <w:spacing w:after="0"/>
              <w:ind w:left="53"/>
              <w:rPr>
                <w:i/>
                <w:color w:val="auto"/>
                <w:sz w:val="20"/>
                <w:lang w:val="en-US"/>
              </w:rPr>
            </w:pPr>
            <w:r w:rsidRPr="00555B50">
              <w:rPr>
                <w:color w:val="auto"/>
                <w:sz w:val="20"/>
                <w:lang w:val="en-US"/>
              </w:rPr>
              <w:t>Quality criteria 4: Tests are suitable and appropriate to support transferable skills</w:t>
            </w:r>
          </w:p>
        </w:tc>
      </w:tr>
      <w:tr w:rsidR="00B90AD1" w:rsidRPr="002A797D" w14:paraId="77CF703D" w14:textId="77777777" w:rsidTr="007A4578">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7AC0B40" w14:textId="77777777" w:rsidR="00B90AD1" w:rsidRPr="00555B50" w:rsidRDefault="00B90AD1" w:rsidP="00B90AD1">
            <w:pPr>
              <w:numPr>
                <w:ilvl w:val="0"/>
                <w:numId w:val="3"/>
              </w:numPr>
              <w:spacing w:after="0"/>
              <w:ind w:hanging="360"/>
              <w:rPr>
                <w:color w:val="auto"/>
              </w:rPr>
            </w:pPr>
            <w:r w:rsidRPr="00555B50">
              <w:rPr>
                <w:i/>
                <w:color w:val="auto"/>
                <w:sz w:val="20"/>
              </w:rPr>
              <w:t xml:space="preserve">Evaluation </w:t>
            </w:r>
          </w:p>
          <w:p w14:paraId="3CDAEFB6" w14:textId="77777777" w:rsidR="0063284F" w:rsidRDefault="00B90AD1" w:rsidP="00B90AD1">
            <w:pPr>
              <w:spacing w:after="43"/>
              <w:ind w:right="45"/>
              <w:jc w:val="both"/>
              <w:rPr>
                <w:color w:val="auto"/>
                <w:lang w:val="en-US"/>
              </w:rPr>
            </w:pPr>
            <w:r>
              <w:rPr>
                <w:color w:val="auto"/>
                <w:lang w:val="en-US"/>
              </w:rPr>
              <w:t>The syllabus does not provide details for evaluation. It remains unclear</w:t>
            </w:r>
            <w:r w:rsidRPr="00295C9A">
              <w:rPr>
                <w:color w:val="auto"/>
                <w:lang w:val="en-US"/>
              </w:rPr>
              <w:t xml:space="preserve"> how the learning outcomes expected from </w:t>
            </w:r>
            <w:r>
              <w:rPr>
                <w:color w:val="auto"/>
                <w:lang w:val="en-US"/>
              </w:rPr>
              <w:t>in-class activities and independent work are practically assessed</w:t>
            </w:r>
            <w:r w:rsidRPr="00295C9A">
              <w:rPr>
                <w:color w:val="auto"/>
                <w:lang w:val="en-US"/>
              </w:rPr>
              <w:t xml:space="preserve"> </w:t>
            </w:r>
            <w:r>
              <w:rPr>
                <w:color w:val="auto"/>
                <w:lang w:val="en-US"/>
              </w:rPr>
              <w:t>and included in the evaluation. Similarly, it is not specified how the student is supposed to get the evaluation “pass” or “fail”</w:t>
            </w:r>
          </w:p>
          <w:p w14:paraId="28EC46AF" w14:textId="2A5FEB84" w:rsidR="00B90AD1" w:rsidRPr="00555B50" w:rsidRDefault="00B90AD1" w:rsidP="00B90AD1">
            <w:pPr>
              <w:spacing w:after="43"/>
              <w:ind w:right="45"/>
              <w:jc w:val="both"/>
              <w:rPr>
                <w:color w:val="auto"/>
                <w:lang w:val="en-US"/>
              </w:rPr>
            </w:pPr>
            <w:r>
              <w:rPr>
                <w:color w:val="auto"/>
                <w:lang w:val="en-US"/>
              </w:rPr>
              <w:t>.</w:t>
            </w:r>
          </w:p>
          <w:p w14:paraId="11E9C54E" w14:textId="2113A790" w:rsidR="00B90AD1" w:rsidRPr="00555B50" w:rsidRDefault="00B90AD1" w:rsidP="00B90AD1">
            <w:pPr>
              <w:numPr>
                <w:ilvl w:val="0"/>
                <w:numId w:val="3"/>
              </w:numPr>
              <w:spacing w:after="0"/>
              <w:ind w:hanging="360"/>
              <w:rPr>
                <w:color w:val="auto"/>
                <w:lang w:val="en-US"/>
              </w:rPr>
            </w:pPr>
            <w:r w:rsidRPr="00555B50">
              <w:rPr>
                <w:i/>
                <w:color w:val="auto"/>
                <w:sz w:val="20"/>
                <w:lang w:val="en-US"/>
              </w:rPr>
              <w:t xml:space="preserve">Strategies for improvement </w:t>
            </w:r>
          </w:p>
          <w:p w14:paraId="049C35FA" w14:textId="0E924A24" w:rsidR="00B90AD1" w:rsidRPr="00F1565E" w:rsidRDefault="00B90AD1" w:rsidP="00B90AD1">
            <w:pPr>
              <w:spacing w:after="43"/>
              <w:ind w:right="45"/>
              <w:jc w:val="both"/>
              <w:rPr>
                <w:color w:val="FF0000"/>
                <w:lang w:val="en-US"/>
              </w:rPr>
            </w:pPr>
            <w:r w:rsidRPr="00555B50">
              <w:rPr>
                <w:color w:val="auto"/>
                <w:lang w:val="en-US"/>
              </w:rPr>
              <w:t xml:space="preserve">More details </w:t>
            </w:r>
            <w:r>
              <w:rPr>
                <w:color w:val="auto"/>
                <w:lang w:val="en-US"/>
              </w:rPr>
              <w:t>should</w:t>
            </w:r>
            <w:r w:rsidRPr="00555B50">
              <w:rPr>
                <w:color w:val="auto"/>
                <w:lang w:val="en-US"/>
              </w:rPr>
              <w:t xml:space="preserve"> be added to describe the </w:t>
            </w:r>
            <w:r>
              <w:rPr>
                <w:color w:val="auto"/>
                <w:lang w:val="en-US"/>
              </w:rPr>
              <w:t>evaluation in terms of assessment</w:t>
            </w:r>
            <w:r w:rsidRPr="00555B50">
              <w:rPr>
                <w:color w:val="auto"/>
                <w:lang w:val="en-US"/>
              </w:rPr>
              <w:t xml:space="preserve"> criteria </w:t>
            </w:r>
            <w:r>
              <w:rPr>
                <w:color w:val="auto"/>
                <w:lang w:val="en-US"/>
              </w:rPr>
              <w:t xml:space="preserve">and related </w:t>
            </w:r>
            <w:proofErr w:type="spellStart"/>
            <w:r>
              <w:rPr>
                <w:color w:val="auto"/>
                <w:lang w:val="en-US"/>
              </w:rPr>
              <w:t>activities.c</w:t>
            </w:r>
            <w:proofErr w:type="spellEnd"/>
            <w:r>
              <w:rPr>
                <w:color w:val="auto"/>
                <w:lang w:val="en-US"/>
              </w:rPr>
              <w:t xml:space="preserve"> If proper, add a grading reference matrix.</w:t>
            </w:r>
          </w:p>
        </w:tc>
      </w:tr>
    </w:tbl>
    <w:p w14:paraId="34A60577" w14:textId="77777777" w:rsidR="007A4578" w:rsidRPr="00F1565E" w:rsidRDefault="00EA2F9D">
      <w:pPr>
        <w:spacing w:after="0"/>
        <w:rPr>
          <w:color w:val="FF0000"/>
          <w:lang w:val="en-US"/>
        </w:rPr>
      </w:pPr>
      <w:r w:rsidRPr="00F1565E">
        <w:rPr>
          <w:color w:val="FF0000"/>
          <w:sz w:val="20"/>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F1565E" w:rsidRPr="002A797D" w14:paraId="277915DC" w14:textId="77777777" w:rsidTr="006E29B2">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602C8863" w14:textId="7ECBD154" w:rsidR="007A4578" w:rsidRPr="00F1565E" w:rsidRDefault="007A4578" w:rsidP="007A4578">
            <w:pPr>
              <w:spacing w:after="0"/>
              <w:rPr>
                <w:color w:val="FF0000"/>
                <w:sz w:val="20"/>
                <w:lang w:val="en-US"/>
              </w:rPr>
            </w:pPr>
            <w:r w:rsidRPr="00555B50">
              <w:rPr>
                <w:color w:val="auto"/>
                <w:sz w:val="20"/>
                <w:lang w:val="en-US"/>
              </w:rPr>
              <w:t>Quality criteria 5: TLM and assessment strategy support students in undertaking the course i.e. prerequisites are</w:t>
            </w:r>
            <w:r w:rsidR="000507DB" w:rsidRPr="00555B50">
              <w:rPr>
                <w:color w:val="auto"/>
                <w:sz w:val="20"/>
                <w:lang w:val="en-US"/>
              </w:rPr>
              <w:t xml:space="preserve"> </w:t>
            </w:r>
            <w:r w:rsidRPr="00555B50">
              <w:rPr>
                <w:color w:val="auto"/>
                <w:sz w:val="20"/>
                <w:lang w:val="en-US"/>
              </w:rPr>
              <w:t>helpful and relevant, assessments help gauge students understanding</w:t>
            </w:r>
          </w:p>
        </w:tc>
      </w:tr>
      <w:tr w:rsidR="00F1565E" w:rsidRPr="002A797D" w14:paraId="65D9E509" w14:textId="77777777" w:rsidTr="006E29B2">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AADDAD4" w14:textId="61DBF0F9" w:rsidR="007A4578" w:rsidRPr="00555B50" w:rsidRDefault="007A4578" w:rsidP="007A4578">
            <w:pPr>
              <w:numPr>
                <w:ilvl w:val="0"/>
                <w:numId w:val="3"/>
              </w:numPr>
              <w:spacing w:after="0"/>
              <w:ind w:hanging="360"/>
              <w:rPr>
                <w:i/>
                <w:color w:val="auto"/>
                <w:sz w:val="20"/>
              </w:rPr>
            </w:pPr>
            <w:r w:rsidRPr="00555B50">
              <w:rPr>
                <w:i/>
                <w:color w:val="auto"/>
                <w:sz w:val="20"/>
              </w:rPr>
              <w:t>Evaluation</w:t>
            </w:r>
          </w:p>
          <w:p w14:paraId="6D7FD87D" w14:textId="4DBAE5BD" w:rsidR="00A64A29" w:rsidRPr="005355E1" w:rsidRDefault="00C47B4A" w:rsidP="007A4578">
            <w:pPr>
              <w:spacing w:after="43"/>
              <w:ind w:right="45"/>
              <w:jc w:val="both"/>
              <w:rPr>
                <w:color w:val="auto"/>
                <w:lang w:val="en-US"/>
              </w:rPr>
            </w:pPr>
            <w:r w:rsidRPr="005355E1">
              <w:rPr>
                <w:color w:val="auto"/>
                <w:lang w:val="en-US"/>
              </w:rPr>
              <w:t>TLM</w:t>
            </w:r>
            <w:r w:rsidR="00154C33" w:rsidRPr="005355E1">
              <w:rPr>
                <w:color w:val="auto"/>
                <w:lang w:val="en-US"/>
              </w:rPr>
              <w:t xml:space="preserve"> are </w:t>
            </w:r>
            <w:r w:rsidRPr="005355E1">
              <w:rPr>
                <w:color w:val="auto"/>
                <w:lang w:val="en-US"/>
              </w:rPr>
              <w:t>described with different degree of detail.</w:t>
            </w:r>
            <w:r w:rsidR="0019762D" w:rsidRPr="005355E1">
              <w:rPr>
                <w:color w:val="auto"/>
                <w:lang w:val="en-US"/>
              </w:rPr>
              <w:t xml:space="preserve"> </w:t>
            </w:r>
            <w:r w:rsidRPr="005355E1">
              <w:rPr>
                <w:color w:val="auto"/>
                <w:lang w:val="en-US"/>
              </w:rPr>
              <w:t>In particular, the highlighted teaching approach of “making most of interactive and self-reflective methods of teaching and learning and, where possible, avoiding standing lectures and presentations”</w:t>
            </w:r>
            <w:r w:rsidR="005355E1" w:rsidRPr="005355E1">
              <w:rPr>
                <w:color w:val="auto"/>
                <w:lang w:val="en-US"/>
              </w:rPr>
              <w:t xml:space="preserve"> does not match with the online trait of the course.</w:t>
            </w:r>
          </w:p>
          <w:p w14:paraId="19401912" w14:textId="544358F7" w:rsidR="001B41BC" w:rsidRDefault="007A4578" w:rsidP="00E50F23">
            <w:pPr>
              <w:spacing w:after="43"/>
              <w:ind w:right="45"/>
              <w:jc w:val="both"/>
              <w:rPr>
                <w:color w:val="auto"/>
                <w:lang w:val="en-US"/>
              </w:rPr>
            </w:pPr>
            <w:r w:rsidRPr="005355E1">
              <w:rPr>
                <w:color w:val="auto"/>
                <w:lang w:val="en-US"/>
              </w:rPr>
              <w:t>The list of</w:t>
            </w:r>
            <w:r w:rsidR="005355E1" w:rsidRPr="005355E1">
              <w:rPr>
                <w:color w:val="auto"/>
                <w:lang w:val="en-US"/>
              </w:rPr>
              <w:t xml:space="preserve"> reading/</w:t>
            </w:r>
            <w:r w:rsidR="00555B50" w:rsidRPr="005355E1">
              <w:rPr>
                <w:color w:val="auto"/>
                <w:lang w:val="en-US"/>
              </w:rPr>
              <w:t xml:space="preserve">books </w:t>
            </w:r>
            <w:r w:rsidR="005355E1" w:rsidRPr="005355E1">
              <w:rPr>
                <w:color w:val="auto"/>
                <w:lang w:val="en-US"/>
              </w:rPr>
              <w:t>misses fundamental references to Green and Blue Infrastructure. Some topics are linked with more than one reference while others have no suggested material.</w:t>
            </w:r>
          </w:p>
          <w:p w14:paraId="36B8E322" w14:textId="77777777" w:rsidR="00833D88" w:rsidRPr="005355E1" w:rsidRDefault="00833D88" w:rsidP="00E50F23">
            <w:pPr>
              <w:spacing w:after="43"/>
              <w:ind w:right="45"/>
              <w:jc w:val="both"/>
              <w:rPr>
                <w:color w:val="auto"/>
                <w:lang w:val="en-US"/>
              </w:rPr>
            </w:pPr>
          </w:p>
          <w:p w14:paraId="5C49CBA2" w14:textId="0EE5C553" w:rsidR="007A4578" w:rsidRPr="00555B50" w:rsidRDefault="007A4578" w:rsidP="00D06B5C">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1731A028" w14:textId="165F51A3" w:rsidR="001B41BC" w:rsidRPr="00F1565E" w:rsidRDefault="00555B50" w:rsidP="002C2844">
            <w:pPr>
              <w:spacing w:after="43"/>
              <w:ind w:right="45"/>
              <w:jc w:val="both"/>
              <w:rPr>
                <w:color w:val="FF0000"/>
                <w:lang w:val="en-US"/>
              </w:rPr>
            </w:pPr>
            <w:r w:rsidRPr="005355E1">
              <w:rPr>
                <w:color w:val="auto"/>
                <w:lang w:val="en-US"/>
              </w:rPr>
              <w:t>Specify which part of the list of materials/books could be considered compulsory and which part recommended. Replace, if proper, some reference with a more recent one.</w:t>
            </w:r>
            <w:r w:rsidR="005355E1" w:rsidRPr="005355E1">
              <w:rPr>
                <w:color w:val="auto"/>
                <w:lang w:val="en-US"/>
              </w:rPr>
              <w:t xml:space="preserve"> Check that the majority of topics is sufficiently covered by suggested readings.</w:t>
            </w:r>
          </w:p>
        </w:tc>
      </w:tr>
      <w:tr w:rsidR="00F1565E" w:rsidRPr="00F1565E" w14:paraId="620433B6" w14:textId="77777777" w:rsidTr="000507DB">
        <w:trPr>
          <w:trHeight w:val="626"/>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27AE8692" w14:textId="7F922D0E" w:rsidR="000507DB" w:rsidRPr="00555B50" w:rsidRDefault="000507DB" w:rsidP="000507DB">
            <w:pPr>
              <w:spacing w:after="0"/>
              <w:rPr>
                <w:color w:val="auto"/>
                <w:sz w:val="20"/>
                <w:lang w:val="en-US"/>
              </w:rPr>
            </w:pPr>
            <w:r w:rsidRPr="00555B50">
              <w:rPr>
                <w:color w:val="auto"/>
                <w:sz w:val="20"/>
                <w:lang w:val="en-US"/>
              </w:rPr>
              <w:t>Quality criteria 6: Theory/Practice-oriented components are sufficient to cater the learning outcomes and skills</w:t>
            </w:r>
          </w:p>
          <w:p w14:paraId="26B3FD2B" w14:textId="6D6D510C" w:rsidR="000507DB" w:rsidRPr="00555B50" w:rsidRDefault="000507DB" w:rsidP="000507DB">
            <w:pPr>
              <w:spacing w:after="0"/>
              <w:rPr>
                <w:i/>
                <w:color w:val="auto"/>
                <w:sz w:val="20"/>
                <w:lang w:val="en-US"/>
              </w:rPr>
            </w:pPr>
            <w:r w:rsidRPr="00555B50">
              <w:rPr>
                <w:color w:val="auto"/>
                <w:sz w:val="20"/>
                <w:lang w:val="en-US"/>
              </w:rPr>
              <w:t>development</w:t>
            </w:r>
          </w:p>
        </w:tc>
      </w:tr>
      <w:tr w:rsidR="00F1565E" w:rsidRPr="002A797D" w14:paraId="1AB8F49B" w14:textId="77777777" w:rsidTr="000507DB">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6D0D289" w14:textId="77777777" w:rsidR="00697CD8" w:rsidRPr="00555B50" w:rsidRDefault="00697CD8" w:rsidP="00697CD8">
            <w:pPr>
              <w:numPr>
                <w:ilvl w:val="0"/>
                <w:numId w:val="3"/>
              </w:numPr>
              <w:spacing w:after="0"/>
              <w:ind w:hanging="360"/>
              <w:rPr>
                <w:i/>
                <w:color w:val="auto"/>
                <w:sz w:val="20"/>
              </w:rPr>
            </w:pPr>
            <w:r w:rsidRPr="00555B50">
              <w:rPr>
                <w:i/>
                <w:color w:val="auto"/>
                <w:sz w:val="20"/>
              </w:rPr>
              <w:t>Evaluation</w:t>
            </w:r>
          </w:p>
          <w:p w14:paraId="1650FCF9" w14:textId="1CBD2D97" w:rsidR="00073788" w:rsidRPr="008411D2" w:rsidRDefault="00073788" w:rsidP="00E46CC8">
            <w:pPr>
              <w:spacing w:after="43"/>
              <w:ind w:right="45"/>
              <w:rPr>
                <w:color w:val="auto"/>
                <w:lang w:val="en-US"/>
              </w:rPr>
            </w:pPr>
            <w:r w:rsidRPr="008411D2">
              <w:rPr>
                <w:color w:val="auto"/>
                <w:lang w:val="en-US"/>
              </w:rPr>
              <w:t xml:space="preserve">The course misses the </w:t>
            </w:r>
            <w:r w:rsidR="008411D2" w:rsidRPr="008411D2">
              <w:rPr>
                <w:color w:val="auto"/>
                <w:lang w:val="en-US"/>
              </w:rPr>
              <w:t>“</w:t>
            </w:r>
            <w:r w:rsidRPr="008411D2">
              <w:rPr>
                <w:color w:val="auto"/>
                <w:lang w:val="en-US"/>
              </w:rPr>
              <w:t>green and blue infrastructure</w:t>
            </w:r>
            <w:r w:rsidR="008411D2" w:rsidRPr="008411D2">
              <w:rPr>
                <w:color w:val="auto"/>
                <w:lang w:val="en-US"/>
              </w:rPr>
              <w:t>”</w:t>
            </w:r>
            <w:r w:rsidRPr="008411D2">
              <w:rPr>
                <w:color w:val="auto"/>
                <w:lang w:val="en-US"/>
              </w:rPr>
              <w:t xml:space="preserve"> content</w:t>
            </w:r>
            <w:r w:rsidR="008411D2" w:rsidRPr="008411D2">
              <w:rPr>
                <w:color w:val="auto"/>
                <w:lang w:val="en-US"/>
              </w:rPr>
              <w:t>.</w:t>
            </w:r>
          </w:p>
          <w:p w14:paraId="49792195" w14:textId="0F7EA5DE" w:rsidR="00697CD8" w:rsidRPr="008411D2" w:rsidRDefault="00697CD8" w:rsidP="00E46CC8">
            <w:pPr>
              <w:spacing w:after="43"/>
              <w:ind w:right="45"/>
              <w:rPr>
                <w:color w:val="auto"/>
                <w:lang w:val="en-US"/>
              </w:rPr>
            </w:pPr>
            <w:r w:rsidRPr="008411D2">
              <w:rPr>
                <w:color w:val="auto"/>
                <w:lang w:val="en-US"/>
              </w:rPr>
              <w:t xml:space="preserve">Theory and practice-oriented </w:t>
            </w:r>
            <w:r w:rsidR="00C93A5E" w:rsidRPr="008411D2">
              <w:rPr>
                <w:color w:val="auto"/>
                <w:lang w:val="en-US"/>
              </w:rPr>
              <w:t xml:space="preserve">are </w:t>
            </w:r>
            <w:r w:rsidR="008411D2" w:rsidRPr="008411D2">
              <w:rPr>
                <w:color w:val="auto"/>
                <w:lang w:val="en-US"/>
              </w:rPr>
              <w:t xml:space="preserve">not split in terms </w:t>
            </w:r>
            <w:r w:rsidR="00555B50" w:rsidRPr="008411D2">
              <w:rPr>
                <w:color w:val="auto"/>
                <w:lang w:val="en-US"/>
              </w:rPr>
              <w:t>of learning hours and</w:t>
            </w:r>
            <w:r w:rsidRPr="008411D2">
              <w:rPr>
                <w:color w:val="auto"/>
                <w:lang w:val="en-US"/>
              </w:rPr>
              <w:t xml:space="preserve"> </w:t>
            </w:r>
            <w:r w:rsidR="008411D2" w:rsidRPr="008411D2">
              <w:rPr>
                <w:color w:val="auto"/>
                <w:lang w:val="en-US"/>
              </w:rPr>
              <w:t>not explicitly</w:t>
            </w:r>
            <w:r w:rsidRPr="008411D2">
              <w:rPr>
                <w:color w:val="auto"/>
                <w:lang w:val="en-US"/>
              </w:rPr>
              <w:t xml:space="preserve"> connected </w:t>
            </w:r>
            <w:r w:rsidR="00E46CC8" w:rsidRPr="008411D2">
              <w:rPr>
                <w:color w:val="auto"/>
                <w:lang w:val="en-US"/>
              </w:rPr>
              <w:t xml:space="preserve">to </w:t>
            </w:r>
            <w:r w:rsidRPr="008411D2">
              <w:rPr>
                <w:color w:val="auto"/>
                <w:lang w:val="en-US"/>
              </w:rPr>
              <w:t>learning outcomes and target skills</w:t>
            </w:r>
            <w:r w:rsidR="00555B50" w:rsidRPr="008411D2">
              <w:rPr>
                <w:color w:val="auto"/>
                <w:lang w:val="en-US"/>
              </w:rPr>
              <w:t>.</w:t>
            </w:r>
          </w:p>
          <w:p w14:paraId="291F6360" w14:textId="6DEE5C4D" w:rsidR="00736ED7" w:rsidRDefault="008411D2" w:rsidP="00E46CC8">
            <w:pPr>
              <w:spacing w:after="43"/>
              <w:ind w:right="45"/>
              <w:rPr>
                <w:color w:val="auto"/>
                <w:lang w:val="en-US"/>
              </w:rPr>
            </w:pPr>
            <w:r w:rsidRPr="008411D2">
              <w:rPr>
                <w:color w:val="auto"/>
                <w:lang w:val="en-US"/>
              </w:rPr>
              <w:t>The table of course workload includes activities most likely associated with  the ability to “apply knowledge of building and plan approval processes” but these activities are not described in details.</w:t>
            </w:r>
          </w:p>
          <w:p w14:paraId="6C57E4B7" w14:textId="77777777" w:rsidR="00833D88" w:rsidRPr="008411D2" w:rsidRDefault="00833D88" w:rsidP="00E46CC8">
            <w:pPr>
              <w:spacing w:after="43"/>
              <w:ind w:right="45"/>
              <w:rPr>
                <w:color w:val="auto"/>
                <w:lang w:val="en-US"/>
              </w:rPr>
            </w:pPr>
          </w:p>
          <w:p w14:paraId="470A2D24" w14:textId="4A923037" w:rsidR="00697CD8" w:rsidRDefault="00697CD8" w:rsidP="00697CD8">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65509D2C" w14:textId="11F3A776" w:rsidR="008411D2" w:rsidRPr="008411D2" w:rsidRDefault="008411D2" w:rsidP="008411D2">
            <w:pPr>
              <w:spacing w:after="43"/>
              <w:ind w:right="45"/>
              <w:jc w:val="both"/>
              <w:rPr>
                <w:color w:val="auto"/>
                <w:lang w:val="en-US"/>
              </w:rPr>
            </w:pPr>
            <w:r w:rsidRPr="008411D2">
              <w:rPr>
                <w:color w:val="auto"/>
                <w:lang w:val="en-US"/>
              </w:rPr>
              <w:t>The Course must include taught lectures on green and blue infrastructure</w:t>
            </w:r>
            <w:r w:rsidR="00024541">
              <w:rPr>
                <w:color w:val="auto"/>
                <w:lang w:val="en-US"/>
              </w:rPr>
              <w:t>, including the review of literature on existing l</w:t>
            </w:r>
            <w:r w:rsidR="00024541" w:rsidRPr="00024541">
              <w:rPr>
                <w:color w:val="auto"/>
                <w:lang w:val="en-US"/>
              </w:rPr>
              <w:t xml:space="preserve">aws, </w:t>
            </w:r>
            <w:r w:rsidR="00024541">
              <w:rPr>
                <w:color w:val="auto"/>
                <w:lang w:val="en-US"/>
              </w:rPr>
              <w:t>p</w:t>
            </w:r>
            <w:r w:rsidR="00024541" w:rsidRPr="00024541">
              <w:rPr>
                <w:color w:val="auto"/>
                <w:lang w:val="en-US"/>
              </w:rPr>
              <w:t xml:space="preserve">olicies and </w:t>
            </w:r>
            <w:r w:rsidR="00024541">
              <w:rPr>
                <w:color w:val="auto"/>
                <w:lang w:val="en-US"/>
              </w:rPr>
              <w:t>g</w:t>
            </w:r>
            <w:r w:rsidR="00024541" w:rsidRPr="00024541">
              <w:rPr>
                <w:color w:val="auto"/>
                <w:lang w:val="en-US"/>
              </w:rPr>
              <w:t>uidelines promoting Green and Blue Infrastructure</w:t>
            </w:r>
            <w:r w:rsidR="00024541">
              <w:rPr>
                <w:color w:val="auto"/>
                <w:lang w:val="en-US"/>
              </w:rPr>
              <w:t xml:space="preserve"> worldwide</w:t>
            </w:r>
          </w:p>
          <w:p w14:paraId="0983A761" w14:textId="3F1959AE" w:rsidR="00697CD8" w:rsidRPr="00555B50" w:rsidRDefault="00555B50" w:rsidP="00697CD8">
            <w:pPr>
              <w:spacing w:after="43"/>
              <w:ind w:right="45"/>
              <w:jc w:val="both"/>
              <w:rPr>
                <w:color w:val="auto"/>
                <w:lang w:val="en-US"/>
              </w:rPr>
            </w:pPr>
            <w:r w:rsidRPr="008411D2">
              <w:rPr>
                <w:color w:val="auto"/>
                <w:lang w:val="en-US"/>
              </w:rPr>
              <w:t>Theory and practice-oriented components could better specify, separately, contents and corresponding activities</w:t>
            </w:r>
            <w:r w:rsidR="008411D2" w:rsidRPr="008411D2">
              <w:rPr>
                <w:color w:val="auto"/>
                <w:lang w:val="en-US"/>
              </w:rPr>
              <w:t>/hours</w:t>
            </w:r>
          </w:p>
        </w:tc>
      </w:tr>
    </w:tbl>
    <w:p w14:paraId="76177D4C" w14:textId="0A98D984" w:rsidR="00826080" w:rsidRPr="00555B50" w:rsidRDefault="00826080">
      <w:pPr>
        <w:spacing w:after="0"/>
        <w:rPr>
          <w:color w:val="auto"/>
          <w:lang w:val="en-US"/>
        </w:rPr>
      </w:pPr>
    </w:p>
    <w:p w14:paraId="24DD5CB8" w14:textId="5B3AC86C" w:rsidR="007A4578" w:rsidRPr="00555B50" w:rsidRDefault="007A4578">
      <w:pPr>
        <w:spacing w:after="0"/>
        <w:rPr>
          <w:color w:val="auto"/>
          <w:lang w:val="en-US"/>
        </w:rPr>
      </w:pPr>
    </w:p>
    <w:p w14:paraId="7927BF4E" w14:textId="77777777" w:rsidR="007A4578" w:rsidRPr="00555B50" w:rsidRDefault="007A4578">
      <w:pPr>
        <w:spacing w:after="0"/>
        <w:rPr>
          <w:color w:val="auto"/>
          <w:lang w:val="en-US"/>
        </w:rPr>
      </w:pPr>
    </w:p>
    <w:p w14:paraId="442C21C1" w14:textId="77777777" w:rsidR="00833D88" w:rsidRDefault="00833D88">
      <w:pPr>
        <w:spacing w:after="80"/>
        <w:ind w:left="-5" w:right="-15" w:hanging="10"/>
        <w:jc w:val="both"/>
        <w:rPr>
          <w:color w:val="auto"/>
          <w:sz w:val="20"/>
          <w:lang w:val="en-US"/>
        </w:rPr>
      </w:pPr>
    </w:p>
    <w:p w14:paraId="6898C58D" w14:textId="77777777" w:rsidR="00833D88" w:rsidRDefault="00833D88">
      <w:pPr>
        <w:spacing w:after="80"/>
        <w:ind w:left="-5" w:right="-15" w:hanging="10"/>
        <w:jc w:val="both"/>
        <w:rPr>
          <w:color w:val="auto"/>
          <w:sz w:val="20"/>
          <w:lang w:val="en-US"/>
        </w:rPr>
      </w:pPr>
    </w:p>
    <w:p w14:paraId="668B8DCB" w14:textId="77777777" w:rsidR="00833D88" w:rsidRDefault="00833D88">
      <w:pPr>
        <w:spacing w:after="80"/>
        <w:ind w:left="-5" w:right="-15" w:hanging="10"/>
        <w:jc w:val="both"/>
        <w:rPr>
          <w:color w:val="auto"/>
          <w:sz w:val="20"/>
          <w:lang w:val="en-US"/>
        </w:rPr>
      </w:pPr>
    </w:p>
    <w:p w14:paraId="254540D6" w14:textId="77777777" w:rsidR="00833D88" w:rsidRDefault="00833D88">
      <w:pPr>
        <w:spacing w:after="80"/>
        <w:ind w:left="-5" w:right="-15" w:hanging="10"/>
        <w:jc w:val="both"/>
        <w:rPr>
          <w:color w:val="auto"/>
          <w:sz w:val="20"/>
          <w:lang w:val="en-US"/>
        </w:rPr>
      </w:pPr>
    </w:p>
    <w:p w14:paraId="469FDFB3" w14:textId="77777777" w:rsidR="00833D88" w:rsidRDefault="00833D88">
      <w:pPr>
        <w:spacing w:after="80"/>
        <w:ind w:left="-5" w:right="-15" w:hanging="10"/>
        <w:jc w:val="both"/>
        <w:rPr>
          <w:color w:val="auto"/>
          <w:sz w:val="20"/>
          <w:lang w:val="en-US"/>
        </w:rPr>
      </w:pPr>
    </w:p>
    <w:p w14:paraId="3A371314" w14:textId="77777777" w:rsidR="00833D88" w:rsidRDefault="00833D88">
      <w:pPr>
        <w:spacing w:after="80"/>
        <w:ind w:left="-5" w:right="-15" w:hanging="10"/>
        <w:jc w:val="both"/>
        <w:rPr>
          <w:color w:val="auto"/>
          <w:sz w:val="20"/>
          <w:lang w:val="en-US"/>
        </w:rPr>
      </w:pPr>
    </w:p>
    <w:p w14:paraId="5284BD8D" w14:textId="77777777" w:rsidR="00833D88" w:rsidRDefault="00833D88">
      <w:pPr>
        <w:spacing w:after="80"/>
        <w:ind w:left="-5" w:right="-15" w:hanging="10"/>
        <w:jc w:val="both"/>
        <w:rPr>
          <w:color w:val="auto"/>
          <w:sz w:val="20"/>
          <w:lang w:val="en-US"/>
        </w:rPr>
      </w:pPr>
    </w:p>
    <w:p w14:paraId="520E2195" w14:textId="77777777" w:rsidR="00833D88" w:rsidRDefault="00833D88">
      <w:pPr>
        <w:spacing w:after="80"/>
        <w:ind w:left="-5" w:right="-15" w:hanging="10"/>
        <w:jc w:val="both"/>
        <w:rPr>
          <w:color w:val="auto"/>
          <w:sz w:val="20"/>
          <w:lang w:val="en-US"/>
        </w:rPr>
      </w:pPr>
    </w:p>
    <w:p w14:paraId="2B2A719C" w14:textId="77777777" w:rsidR="00833D88" w:rsidRDefault="00833D88">
      <w:pPr>
        <w:spacing w:after="80"/>
        <w:ind w:left="-5" w:right="-15" w:hanging="10"/>
        <w:jc w:val="both"/>
        <w:rPr>
          <w:color w:val="auto"/>
          <w:sz w:val="20"/>
          <w:lang w:val="en-US"/>
        </w:rPr>
      </w:pPr>
    </w:p>
    <w:p w14:paraId="60045C81" w14:textId="77777777" w:rsidR="00833D88" w:rsidRDefault="00833D88">
      <w:pPr>
        <w:spacing w:after="80"/>
        <w:ind w:left="-5" w:right="-15" w:hanging="10"/>
        <w:jc w:val="both"/>
        <w:rPr>
          <w:color w:val="auto"/>
          <w:sz w:val="20"/>
          <w:lang w:val="en-US"/>
        </w:rPr>
      </w:pPr>
    </w:p>
    <w:p w14:paraId="006E6A3E" w14:textId="77777777" w:rsidR="00833D88" w:rsidRDefault="00833D88">
      <w:pPr>
        <w:spacing w:after="80"/>
        <w:ind w:left="-5" w:right="-15" w:hanging="10"/>
        <w:jc w:val="both"/>
        <w:rPr>
          <w:color w:val="auto"/>
          <w:sz w:val="20"/>
          <w:lang w:val="en-US"/>
        </w:rPr>
      </w:pPr>
    </w:p>
    <w:p w14:paraId="256100CE" w14:textId="77777777" w:rsidR="00833D88" w:rsidRDefault="00833D88">
      <w:pPr>
        <w:spacing w:after="80"/>
        <w:ind w:left="-5" w:right="-15" w:hanging="10"/>
        <w:jc w:val="both"/>
        <w:rPr>
          <w:color w:val="auto"/>
          <w:sz w:val="20"/>
          <w:lang w:val="en-US"/>
        </w:rPr>
      </w:pPr>
    </w:p>
    <w:p w14:paraId="6CAE5006" w14:textId="77777777" w:rsidR="00833D88" w:rsidRDefault="00833D88">
      <w:pPr>
        <w:spacing w:after="80"/>
        <w:ind w:left="-5" w:right="-15" w:hanging="10"/>
        <w:jc w:val="both"/>
        <w:rPr>
          <w:color w:val="auto"/>
          <w:sz w:val="20"/>
          <w:lang w:val="en-US"/>
        </w:rPr>
      </w:pPr>
    </w:p>
    <w:p w14:paraId="31ADF81D" w14:textId="77777777" w:rsidR="00833D88" w:rsidRDefault="00833D88">
      <w:pPr>
        <w:spacing w:after="80"/>
        <w:ind w:left="-5" w:right="-15" w:hanging="10"/>
        <w:jc w:val="both"/>
        <w:rPr>
          <w:color w:val="auto"/>
          <w:sz w:val="20"/>
          <w:lang w:val="en-US"/>
        </w:rPr>
      </w:pPr>
    </w:p>
    <w:p w14:paraId="774DD85B" w14:textId="77777777" w:rsidR="00833D88" w:rsidRDefault="00833D88">
      <w:pPr>
        <w:spacing w:after="80"/>
        <w:ind w:left="-5" w:right="-15" w:hanging="10"/>
        <w:jc w:val="both"/>
        <w:rPr>
          <w:color w:val="auto"/>
          <w:sz w:val="20"/>
          <w:lang w:val="en-US"/>
        </w:rPr>
      </w:pPr>
    </w:p>
    <w:p w14:paraId="31A14CB6" w14:textId="77777777" w:rsidR="00833D88" w:rsidRDefault="00833D88">
      <w:pPr>
        <w:spacing w:after="80"/>
        <w:ind w:left="-5" w:right="-15" w:hanging="10"/>
        <w:jc w:val="both"/>
        <w:rPr>
          <w:color w:val="auto"/>
          <w:sz w:val="20"/>
          <w:lang w:val="en-US"/>
        </w:rPr>
      </w:pPr>
    </w:p>
    <w:p w14:paraId="2EB21C95" w14:textId="77777777" w:rsidR="00833D88" w:rsidRDefault="00833D88">
      <w:pPr>
        <w:spacing w:after="80"/>
        <w:ind w:left="-5" w:right="-15" w:hanging="10"/>
        <w:jc w:val="both"/>
        <w:rPr>
          <w:color w:val="auto"/>
          <w:sz w:val="20"/>
          <w:lang w:val="en-US"/>
        </w:rPr>
      </w:pPr>
    </w:p>
    <w:p w14:paraId="3B8BC7F2" w14:textId="77777777" w:rsidR="00833D88" w:rsidRDefault="00833D88">
      <w:pPr>
        <w:spacing w:after="80"/>
        <w:ind w:left="-5" w:right="-15" w:hanging="10"/>
        <w:jc w:val="both"/>
        <w:rPr>
          <w:color w:val="auto"/>
          <w:sz w:val="20"/>
          <w:lang w:val="en-US"/>
        </w:rPr>
      </w:pPr>
    </w:p>
    <w:p w14:paraId="2ED07128" w14:textId="77777777" w:rsidR="00833D88" w:rsidRDefault="00833D88">
      <w:pPr>
        <w:spacing w:after="80"/>
        <w:ind w:left="-5" w:right="-15" w:hanging="10"/>
        <w:jc w:val="both"/>
        <w:rPr>
          <w:color w:val="auto"/>
          <w:sz w:val="20"/>
          <w:lang w:val="en-US"/>
        </w:rPr>
      </w:pPr>
    </w:p>
    <w:p w14:paraId="7E2EB6C8" w14:textId="7C8253A9" w:rsidR="00826080" w:rsidRPr="00555B50" w:rsidRDefault="00EA2F9D">
      <w:pPr>
        <w:spacing w:after="80"/>
        <w:ind w:left="-5" w:right="-15" w:hanging="10"/>
        <w:jc w:val="both"/>
        <w:rPr>
          <w:color w:val="auto"/>
          <w:lang w:val="en-US"/>
        </w:rPr>
      </w:pPr>
      <w:r w:rsidRPr="00555B50">
        <w:rPr>
          <w:color w:val="auto"/>
          <w:sz w:val="20"/>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6126FF54" w14:textId="77777777" w:rsidR="00826080" w:rsidRPr="00555B50" w:rsidRDefault="00826080">
      <w:pPr>
        <w:spacing w:after="0"/>
        <w:ind w:left="10" w:right="-4631" w:hanging="10"/>
        <w:rPr>
          <w:b/>
          <w:color w:val="auto"/>
          <w:lang w:val="en-US"/>
        </w:rPr>
      </w:pPr>
    </w:p>
    <w:p w14:paraId="4A656B41" w14:textId="6EBB9625" w:rsidR="00826080" w:rsidRPr="00555B50" w:rsidRDefault="00826080" w:rsidP="008F1A1A">
      <w:pPr>
        <w:spacing w:after="80"/>
        <w:ind w:right="-15"/>
        <w:jc w:val="both"/>
        <w:rPr>
          <w:color w:val="auto"/>
          <w:lang w:val="en-US"/>
        </w:rPr>
      </w:pPr>
    </w:p>
    <w:sectPr w:rsidR="00826080" w:rsidRPr="00555B50">
      <w:headerReference w:type="default" r:id="rId8"/>
      <w:pgSz w:w="11906" w:h="16838"/>
      <w:pgMar w:top="749" w:right="1134"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A76C" w14:textId="77777777" w:rsidR="00ED3A47" w:rsidRDefault="00ED3A47">
      <w:pPr>
        <w:spacing w:after="0"/>
      </w:pPr>
      <w:r>
        <w:separator/>
      </w:r>
    </w:p>
  </w:endnote>
  <w:endnote w:type="continuationSeparator" w:id="0">
    <w:p w14:paraId="49C82344" w14:textId="77777777" w:rsidR="00ED3A47" w:rsidRDefault="00ED3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B2DE1" w14:textId="77777777" w:rsidR="00ED3A47" w:rsidRDefault="00ED3A47">
      <w:pPr>
        <w:spacing w:after="0"/>
      </w:pPr>
      <w:r>
        <w:separator/>
      </w:r>
    </w:p>
  </w:footnote>
  <w:footnote w:type="continuationSeparator" w:id="0">
    <w:p w14:paraId="322BD8DD" w14:textId="77777777" w:rsidR="00ED3A47" w:rsidRDefault="00ED3A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D39C" w14:textId="78BBC099" w:rsidR="00A31702" w:rsidRPr="00A31702" w:rsidRDefault="00A31702" w:rsidP="000E3D1A">
    <w:pPr>
      <w:pStyle w:val="Intestazione"/>
      <w:jc w:val="right"/>
    </w:pPr>
    <w:r>
      <w:rPr>
        <w:noProof/>
        <w:lang w:val="en-US" w:eastAsia="en-US"/>
      </w:rPr>
      <w:drawing>
        <wp:anchor distT="0" distB="0" distL="114300" distR="114300" simplePos="0" relativeHeight="251659264" behindDoc="0" locked="0" layoutInCell="1" allowOverlap="1" wp14:anchorId="0A5F5239" wp14:editId="62724244">
          <wp:simplePos x="0" y="0"/>
          <wp:positionH relativeFrom="column">
            <wp:posOffset>-337279</wp:posOffset>
          </wp:positionH>
          <wp:positionV relativeFrom="paragraph">
            <wp:posOffset>-284813</wp:posOffset>
          </wp:positionV>
          <wp:extent cx="1362075" cy="390525"/>
          <wp:effectExtent l="0" t="0" r="0" b="3175"/>
          <wp:wrapNone/>
          <wp:docPr id="6"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00A733F3">
      <w:rPr>
        <w:noProof/>
        <w:lang w:val="en-US"/>
      </w:rPr>
      <w:drawing>
        <wp:inline distT="0" distB="0" distL="0" distR="0" wp14:anchorId="55D8B3B4" wp14:editId="7572F68D">
          <wp:extent cx="960120" cy="75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960120" cy="750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0"/>
    <w:multiLevelType w:val="multilevel"/>
    <w:tmpl w:val="CD9EC51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3AEC41D7"/>
    <w:multiLevelType w:val="multilevel"/>
    <w:tmpl w:val="22BA83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lang w:val="en-US"/>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3E435611"/>
    <w:multiLevelType w:val="hybridMultilevel"/>
    <w:tmpl w:val="C73A79D8"/>
    <w:lvl w:ilvl="0" w:tplc="8E84CF8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EC59C1"/>
    <w:multiLevelType w:val="hybridMultilevel"/>
    <w:tmpl w:val="05B67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F130CF"/>
    <w:multiLevelType w:val="multilevel"/>
    <w:tmpl w:val="5148BEE2"/>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55D33D65"/>
    <w:multiLevelType w:val="multilevel"/>
    <w:tmpl w:val="2B3C1A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5F0923D4"/>
    <w:multiLevelType w:val="multilevel"/>
    <w:tmpl w:val="573024F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80"/>
    <w:rsid w:val="00024541"/>
    <w:rsid w:val="00037C35"/>
    <w:rsid w:val="0004177B"/>
    <w:rsid w:val="000507DB"/>
    <w:rsid w:val="00065F32"/>
    <w:rsid w:val="00073788"/>
    <w:rsid w:val="000775C4"/>
    <w:rsid w:val="000A0E66"/>
    <w:rsid w:val="000A3A2B"/>
    <w:rsid w:val="000C0344"/>
    <w:rsid w:val="000E3D1A"/>
    <w:rsid w:val="000F7977"/>
    <w:rsid w:val="00116717"/>
    <w:rsid w:val="00130B69"/>
    <w:rsid w:val="00145D24"/>
    <w:rsid w:val="00154C33"/>
    <w:rsid w:val="00154E94"/>
    <w:rsid w:val="001606D5"/>
    <w:rsid w:val="00161913"/>
    <w:rsid w:val="00170E84"/>
    <w:rsid w:val="00176D9C"/>
    <w:rsid w:val="00177427"/>
    <w:rsid w:val="00183B00"/>
    <w:rsid w:val="0019762D"/>
    <w:rsid w:val="001A4D8F"/>
    <w:rsid w:val="001A6985"/>
    <w:rsid w:val="001A79A8"/>
    <w:rsid w:val="001B41BC"/>
    <w:rsid w:val="001C1320"/>
    <w:rsid w:val="001D2023"/>
    <w:rsid w:val="001E7A28"/>
    <w:rsid w:val="00200937"/>
    <w:rsid w:val="00205113"/>
    <w:rsid w:val="00217A54"/>
    <w:rsid w:val="00224898"/>
    <w:rsid w:val="00225F33"/>
    <w:rsid w:val="00250701"/>
    <w:rsid w:val="00252987"/>
    <w:rsid w:val="00280723"/>
    <w:rsid w:val="0029036A"/>
    <w:rsid w:val="00295C9A"/>
    <w:rsid w:val="002A797D"/>
    <w:rsid w:val="002B03AE"/>
    <w:rsid w:val="002C1148"/>
    <w:rsid w:val="002C2844"/>
    <w:rsid w:val="002D712F"/>
    <w:rsid w:val="002E1395"/>
    <w:rsid w:val="002F0333"/>
    <w:rsid w:val="00340A6A"/>
    <w:rsid w:val="00345920"/>
    <w:rsid w:val="00347CDC"/>
    <w:rsid w:val="00367411"/>
    <w:rsid w:val="00374E86"/>
    <w:rsid w:val="00382381"/>
    <w:rsid w:val="00387063"/>
    <w:rsid w:val="003A6F26"/>
    <w:rsid w:val="003B429D"/>
    <w:rsid w:val="0040284F"/>
    <w:rsid w:val="00403F7B"/>
    <w:rsid w:val="004044F0"/>
    <w:rsid w:val="00405479"/>
    <w:rsid w:val="00410E19"/>
    <w:rsid w:val="0041371D"/>
    <w:rsid w:val="004210E8"/>
    <w:rsid w:val="0043613F"/>
    <w:rsid w:val="00445122"/>
    <w:rsid w:val="004713CA"/>
    <w:rsid w:val="00484B4D"/>
    <w:rsid w:val="004856A4"/>
    <w:rsid w:val="004A234C"/>
    <w:rsid w:val="004B508B"/>
    <w:rsid w:val="004C1DD1"/>
    <w:rsid w:val="00506C44"/>
    <w:rsid w:val="0051101E"/>
    <w:rsid w:val="005355E1"/>
    <w:rsid w:val="00555B50"/>
    <w:rsid w:val="00560240"/>
    <w:rsid w:val="00561C08"/>
    <w:rsid w:val="00582A61"/>
    <w:rsid w:val="00593648"/>
    <w:rsid w:val="005974C1"/>
    <w:rsid w:val="005B745A"/>
    <w:rsid w:val="00602E68"/>
    <w:rsid w:val="00621A15"/>
    <w:rsid w:val="00621F34"/>
    <w:rsid w:val="0063284F"/>
    <w:rsid w:val="006347D9"/>
    <w:rsid w:val="0065311D"/>
    <w:rsid w:val="00661704"/>
    <w:rsid w:val="0067374C"/>
    <w:rsid w:val="00677052"/>
    <w:rsid w:val="00697CD8"/>
    <w:rsid w:val="006A6627"/>
    <w:rsid w:val="006C4221"/>
    <w:rsid w:val="006E29B2"/>
    <w:rsid w:val="00730749"/>
    <w:rsid w:val="00734E4D"/>
    <w:rsid w:val="0073611D"/>
    <w:rsid w:val="00736ED7"/>
    <w:rsid w:val="007602F4"/>
    <w:rsid w:val="00764B84"/>
    <w:rsid w:val="007A4578"/>
    <w:rsid w:val="007B2B66"/>
    <w:rsid w:val="007B5085"/>
    <w:rsid w:val="007C40A4"/>
    <w:rsid w:val="007F4034"/>
    <w:rsid w:val="00806D44"/>
    <w:rsid w:val="00821BF0"/>
    <w:rsid w:val="00826080"/>
    <w:rsid w:val="00833D88"/>
    <w:rsid w:val="00836E1A"/>
    <w:rsid w:val="00837B99"/>
    <w:rsid w:val="008411D2"/>
    <w:rsid w:val="00853A04"/>
    <w:rsid w:val="00873E0C"/>
    <w:rsid w:val="008945AA"/>
    <w:rsid w:val="008A0253"/>
    <w:rsid w:val="008A4C07"/>
    <w:rsid w:val="008B0071"/>
    <w:rsid w:val="008B54A7"/>
    <w:rsid w:val="008C566B"/>
    <w:rsid w:val="008D47F7"/>
    <w:rsid w:val="008E5916"/>
    <w:rsid w:val="008F1A1A"/>
    <w:rsid w:val="00942E0A"/>
    <w:rsid w:val="0094607C"/>
    <w:rsid w:val="0095450D"/>
    <w:rsid w:val="00964D65"/>
    <w:rsid w:val="00966C72"/>
    <w:rsid w:val="00967DB6"/>
    <w:rsid w:val="00967F89"/>
    <w:rsid w:val="00973F3E"/>
    <w:rsid w:val="00994AAB"/>
    <w:rsid w:val="009D3A15"/>
    <w:rsid w:val="009D62FC"/>
    <w:rsid w:val="009E5AE0"/>
    <w:rsid w:val="009E636C"/>
    <w:rsid w:val="009F4432"/>
    <w:rsid w:val="009F79F9"/>
    <w:rsid w:val="00A05ACD"/>
    <w:rsid w:val="00A15392"/>
    <w:rsid w:val="00A20213"/>
    <w:rsid w:val="00A31702"/>
    <w:rsid w:val="00A328B1"/>
    <w:rsid w:val="00A548B1"/>
    <w:rsid w:val="00A601FA"/>
    <w:rsid w:val="00A61AC2"/>
    <w:rsid w:val="00A6279C"/>
    <w:rsid w:val="00A64A29"/>
    <w:rsid w:val="00A733F3"/>
    <w:rsid w:val="00A83ECF"/>
    <w:rsid w:val="00A9190D"/>
    <w:rsid w:val="00A9506F"/>
    <w:rsid w:val="00AA3D3D"/>
    <w:rsid w:val="00AC216E"/>
    <w:rsid w:val="00AD2667"/>
    <w:rsid w:val="00AE184E"/>
    <w:rsid w:val="00AE7377"/>
    <w:rsid w:val="00AF34FA"/>
    <w:rsid w:val="00B062C2"/>
    <w:rsid w:val="00B11D26"/>
    <w:rsid w:val="00B150E6"/>
    <w:rsid w:val="00B21FF4"/>
    <w:rsid w:val="00B24A96"/>
    <w:rsid w:val="00B323DE"/>
    <w:rsid w:val="00B34C1B"/>
    <w:rsid w:val="00B56318"/>
    <w:rsid w:val="00B6013A"/>
    <w:rsid w:val="00B61B92"/>
    <w:rsid w:val="00B6566C"/>
    <w:rsid w:val="00B72394"/>
    <w:rsid w:val="00B90AD1"/>
    <w:rsid w:val="00BB298F"/>
    <w:rsid w:val="00BD737C"/>
    <w:rsid w:val="00BE4C86"/>
    <w:rsid w:val="00C0376D"/>
    <w:rsid w:val="00C074F5"/>
    <w:rsid w:val="00C13FD3"/>
    <w:rsid w:val="00C1556F"/>
    <w:rsid w:val="00C23FFA"/>
    <w:rsid w:val="00C30635"/>
    <w:rsid w:val="00C4055A"/>
    <w:rsid w:val="00C46AE2"/>
    <w:rsid w:val="00C47B4A"/>
    <w:rsid w:val="00C57F1F"/>
    <w:rsid w:val="00C61843"/>
    <w:rsid w:val="00C62473"/>
    <w:rsid w:val="00C64514"/>
    <w:rsid w:val="00C8200F"/>
    <w:rsid w:val="00C93A5E"/>
    <w:rsid w:val="00C97A77"/>
    <w:rsid w:val="00CA06B8"/>
    <w:rsid w:val="00CB4483"/>
    <w:rsid w:val="00CD26FB"/>
    <w:rsid w:val="00CD42D0"/>
    <w:rsid w:val="00CF1AE9"/>
    <w:rsid w:val="00CF2A6A"/>
    <w:rsid w:val="00D05058"/>
    <w:rsid w:val="00D06B5C"/>
    <w:rsid w:val="00D1595E"/>
    <w:rsid w:val="00D36224"/>
    <w:rsid w:val="00D5108E"/>
    <w:rsid w:val="00D84B81"/>
    <w:rsid w:val="00D8722E"/>
    <w:rsid w:val="00D91F51"/>
    <w:rsid w:val="00D944AF"/>
    <w:rsid w:val="00DC5707"/>
    <w:rsid w:val="00DC76C2"/>
    <w:rsid w:val="00DD0BC0"/>
    <w:rsid w:val="00DE3D89"/>
    <w:rsid w:val="00E1648F"/>
    <w:rsid w:val="00E46CC8"/>
    <w:rsid w:val="00E471FF"/>
    <w:rsid w:val="00E50F23"/>
    <w:rsid w:val="00E614AC"/>
    <w:rsid w:val="00E629B1"/>
    <w:rsid w:val="00E655F2"/>
    <w:rsid w:val="00E75716"/>
    <w:rsid w:val="00E866B6"/>
    <w:rsid w:val="00E9442A"/>
    <w:rsid w:val="00EA2F9D"/>
    <w:rsid w:val="00ED3A47"/>
    <w:rsid w:val="00EE6E0F"/>
    <w:rsid w:val="00EF04CB"/>
    <w:rsid w:val="00F021F4"/>
    <w:rsid w:val="00F1164E"/>
    <w:rsid w:val="00F1232C"/>
    <w:rsid w:val="00F14A0E"/>
    <w:rsid w:val="00F1565E"/>
    <w:rsid w:val="00F3789C"/>
    <w:rsid w:val="00F52B6B"/>
    <w:rsid w:val="00F56F78"/>
    <w:rsid w:val="00F64167"/>
    <w:rsid w:val="00F96559"/>
    <w:rsid w:val="00FC0CC1"/>
    <w:rsid w:val="00FD51C6"/>
    <w:rsid w:val="00FE3CE5"/>
    <w:rsid w:val="00FE4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3983"/>
  <w15:docId w15:val="{E3A145F2-642B-41C1-8B3D-56DE839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98"/>
      <w:ind w:left="1"/>
      <w:jc w:val="center"/>
      <w:outlineLvl w:val="0"/>
    </w:pPr>
    <w:rPr>
      <w:rFonts w:eastAsia="Calibri" w:cs="Calibri"/>
      <w:b/>
      <w:color w:val="0070C0"/>
      <w:sz w:val="28"/>
    </w:rPr>
  </w:style>
  <w:style w:type="paragraph" w:styleId="Titolo2">
    <w:name w:val="heading 2"/>
    <w:next w:val="Normale"/>
    <w:uiPriority w:val="9"/>
    <w:unhideWhenUsed/>
    <w:qFormat/>
    <w:pPr>
      <w:keepNext/>
      <w:keepLines/>
      <w:suppressAutoHyphens/>
      <w:spacing w:after="0"/>
      <w:ind w:left="2185" w:right="2397" w:hanging="315"/>
      <w:outlineLvl w:val="1"/>
    </w:pPr>
    <w:rPr>
      <w:rFonts w:eastAsia="Calibri" w:cs="Calibri"/>
      <w:b/>
      <w:color w:val="000000"/>
      <w:sz w:val="24"/>
    </w:rPr>
  </w:style>
  <w:style w:type="paragraph" w:styleId="Titolo3">
    <w:name w:val="heading 3"/>
    <w:next w:val="Normale"/>
    <w:uiPriority w:val="9"/>
    <w:unhideWhenUsed/>
    <w:qFormat/>
    <w:pPr>
      <w:keepNext/>
      <w:keepLines/>
      <w:suppressAutoHyphens/>
      <w:spacing w:after="0"/>
      <w:ind w:left="3241" w:hanging="10"/>
      <w:outlineLvl w:val="2"/>
    </w:pPr>
    <w:rPr>
      <w:rFonts w:eastAsia="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rPr>
      <w:rFonts w:ascii="Calibri" w:eastAsia="Calibri" w:hAnsi="Calibri" w:cs="Calibri"/>
      <w:b/>
      <w:color w:val="000000"/>
      <w:sz w:val="22"/>
    </w:rPr>
  </w:style>
  <w:style w:type="character" w:customStyle="1" w:styleId="Titolo1Carattere">
    <w:name w:val="Titolo 1 Carattere"/>
    <w:rPr>
      <w:rFonts w:ascii="Calibri" w:eastAsia="Calibri" w:hAnsi="Calibri" w:cs="Calibri"/>
      <w:b/>
      <w:color w:val="0070C0"/>
      <w:sz w:val="28"/>
    </w:rPr>
  </w:style>
  <w:style w:type="character" w:customStyle="1" w:styleId="Titolo2Carattere">
    <w:name w:val="Titolo 2 Carattere"/>
    <w:rPr>
      <w:rFonts w:ascii="Calibri" w:eastAsia="Calibri" w:hAnsi="Calibri" w:cs="Calibri"/>
      <w:b/>
      <w:color w:val="000000"/>
      <w:sz w:val="24"/>
    </w:rPr>
  </w:style>
  <w:style w:type="character" w:customStyle="1" w:styleId="jlqj4b">
    <w:name w:val="jlqj4b"/>
    <w:basedOn w:val="Carpredefinitoparagrafo"/>
  </w:style>
  <w:style w:type="character" w:customStyle="1" w:styleId="viiyi">
    <w:name w:val="viiyi"/>
    <w:basedOn w:val="Carpredefinitoparagrafo"/>
  </w:style>
  <w:style w:type="character" w:customStyle="1" w:styleId="apple-converted-space">
    <w:name w:val="apple-converted-space"/>
    <w:basedOn w:val="Carpredefinitoparagrafo"/>
    <w:rsid w:val="00A31702"/>
  </w:style>
  <w:style w:type="paragraph" w:styleId="Intestazione">
    <w:name w:val="header"/>
    <w:basedOn w:val="Normale"/>
    <w:link w:val="IntestazioneCarattere"/>
    <w:uiPriority w:val="99"/>
    <w:unhideWhenUsed/>
    <w:rsid w:val="00A3170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31702"/>
    <w:rPr>
      <w:rFonts w:eastAsia="Calibri" w:cs="Calibri"/>
      <w:color w:val="000000"/>
    </w:rPr>
  </w:style>
  <w:style w:type="paragraph" w:styleId="Pidipagina">
    <w:name w:val="footer"/>
    <w:basedOn w:val="Normale"/>
    <w:link w:val="PidipaginaCarattere"/>
    <w:uiPriority w:val="99"/>
    <w:unhideWhenUsed/>
    <w:rsid w:val="00A3170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31702"/>
    <w:rPr>
      <w:rFonts w:eastAsia="Calibri" w:cs="Calibri"/>
      <w:color w:val="000000"/>
    </w:rPr>
  </w:style>
  <w:style w:type="character" w:styleId="Collegamentoipertestuale">
    <w:name w:val="Hyperlink"/>
    <w:basedOn w:val="Carpredefinitoparagrafo"/>
    <w:uiPriority w:val="99"/>
    <w:unhideWhenUsed/>
    <w:rsid w:val="00C074F5"/>
    <w:rPr>
      <w:color w:val="0563C1" w:themeColor="hyperlink"/>
      <w:u w:val="single"/>
    </w:rPr>
  </w:style>
  <w:style w:type="character" w:styleId="Menzionenonrisolta">
    <w:name w:val="Unresolved Mention"/>
    <w:basedOn w:val="Carpredefinitoparagrafo"/>
    <w:uiPriority w:val="99"/>
    <w:semiHidden/>
    <w:unhideWhenUsed/>
    <w:rsid w:val="00C074F5"/>
    <w:rPr>
      <w:color w:val="605E5C"/>
      <w:shd w:val="clear" w:color="auto" w:fill="E1DFDD"/>
    </w:rPr>
  </w:style>
  <w:style w:type="character" w:styleId="Rimandocommento">
    <w:name w:val="annotation reference"/>
    <w:basedOn w:val="Carpredefinitoparagrafo"/>
    <w:uiPriority w:val="99"/>
    <w:semiHidden/>
    <w:unhideWhenUsed/>
    <w:rsid w:val="007B5085"/>
    <w:rPr>
      <w:sz w:val="16"/>
      <w:szCs w:val="16"/>
    </w:rPr>
  </w:style>
  <w:style w:type="paragraph" w:styleId="Testocommento">
    <w:name w:val="annotation text"/>
    <w:basedOn w:val="Normale"/>
    <w:link w:val="TestocommentoCarattere"/>
    <w:uiPriority w:val="99"/>
    <w:semiHidden/>
    <w:unhideWhenUsed/>
    <w:rsid w:val="007B5085"/>
    <w:rPr>
      <w:sz w:val="20"/>
      <w:szCs w:val="20"/>
    </w:rPr>
  </w:style>
  <w:style w:type="character" w:customStyle="1" w:styleId="TestocommentoCarattere">
    <w:name w:val="Testo commento Carattere"/>
    <w:basedOn w:val="Carpredefinitoparagrafo"/>
    <w:link w:val="Testocommento"/>
    <w:uiPriority w:val="99"/>
    <w:semiHidden/>
    <w:rsid w:val="007B5085"/>
    <w:rPr>
      <w:rFonts w:eastAsia="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B5085"/>
    <w:rPr>
      <w:b/>
      <w:bCs/>
    </w:rPr>
  </w:style>
  <w:style w:type="character" w:customStyle="1" w:styleId="SoggettocommentoCarattere">
    <w:name w:val="Soggetto commento Carattere"/>
    <w:basedOn w:val="TestocommentoCarattere"/>
    <w:link w:val="Soggettocommento"/>
    <w:uiPriority w:val="99"/>
    <w:semiHidden/>
    <w:rsid w:val="007B5085"/>
    <w:rPr>
      <w:rFonts w:eastAsia="Calibri" w:cs="Calibri"/>
      <w:b/>
      <w:bCs/>
      <w:color w:val="000000"/>
      <w:sz w:val="20"/>
      <w:szCs w:val="20"/>
    </w:rPr>
  </w:style>
  <w:style w:type="paragraph" w:styleId="Testofumetto">
    <w:name w:val="Balloon Text"/>
    <w:basedOn w:val="Normale"/>
    <w:link w:val="TestofumettoCarattere"/>
    <w:uiPriority w:val="99"/>
    <w:semiHidden/>
    <w:unhideWhenUsed/>
    <w:rsid w:val="007B508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085"/>
    <w:rPr>
      <w:rFonts w:ascii="Segoe UI" w:eastAsia="Calibri" w:hAnsi="Segoe UI" w:cs="Segoe UI"/>
      <w:color w:val="000000"/>
      <w:sz w:val="18"/>
      <w:szCs w:val="18"/>
    </w:rPr>
  </w:style>
  <w:style w:type="paragraph" w:styleId="Paragrafoelenco">
    <w:name w:val="List Paragraph"/>
    <w:basedOn w:val="Normale"/>
    <w:uiPriority w:val="34"/>
    <w:qFormat/>
    <w:rsid w:val="00170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942">
      <w:bodyDiv w:val="1"/>
      <w:marLeft w:val="0"/>
      <w:marRight w:val="0"/>
      <w:marTop w:val="0"/>
      <w:marBottom w:val="0"/>
      <w:divBdr>
        <w:top w:val="none" w:sz="0" w:space="0" w:color="auto"/>
        <w:left w:val="none" w:sz="0" w:space="0" w:color="auto"/>
        <w:bottom w:val="none" w:sz="0" w:space="0" w:color="auto"/>
        <w:right w:val="none" w:sz="0" w:space="0" w:color="auto"/>
      </w:divBdr>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614403754">
      <w:bodyDiv w:val="1"/>
      <w:marLeft w:val="0"/>
      <w:marRight w:val="0"/>
      <w:marTop w:val="0"/>
      <w:marBottom w:val="0"/>
      <w:divBdr>
        <w:top w:val="none" w:sz="0" w:space="0" w:color="auto"/>
        <w:left w:val="none" w:sz="0" w:space="0" w:color="auto"/>
        <w:bottom w:val="none" w:sz="0" w:space="0" w:color="auto"/>
        <w:right w:val="none" w:sz="0" w:space="0" w:color="auto"/>
      </w:divBdr>
    </w:div>
    <w:div w:id="882863926">
      <w:bodyDiv w:val="1"/>
      <w:marLeft w:val="0"/>
      <w:marRight w:val="0"/>
      <w:marTop w:val="0"/>
      <w:marBottom w:val="0"/>
      <w:divBdr>
        <w:top w:val="none" w:sz="0" w:space="0" w:color="auto"/>
        <w:left w:val="none" w:sz="0" w:space="0" w:color="auto"/>
        <w:bottom w:val="none" w:sz="0" w:space="0" w:color="auto"/>
        <w:right w:val="none" w:sz="0" w:space="0" w:color="auto"/>
      </w:divBdr>
    </w:div>
    <w:div w:id="14315135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431">
          <w:marLeft w:val="0"/>
          <w:marRight w:val="0"/>
          <w:marTop w:val="0"/>
          <w:marBottom w:val="360"/>
          <w:divBdr>
            <w:top w:val="none" w:sz="0" w:space="0" w:color="auto"/>
            <w:left w:val="none" w:sz="0" w:space="0" w:color="auto"/>
            <w:bottom w:val="none" w:sz="0" w:space="0" w:color="auto"/>
            <w:right w:val="none" w:sz="0" w:space="0" w:color="auto"/>
          </w:divBdr>
        </w:div>
        <w:div w:id="1921213856">
          <w:marLeft w:val="0"/>
          <w:marRight w:val="0"/>
          <w:marTop w:val="0"/>
          <w:marBottom w:val="0"/>
          <w:divBdr>
            <w:top w:val="none" w:sz="0" w:space="0" w:color="auto"/>
            <w:left w:val="none" w:sz="0" w:space="0" w:color="auto"/>
            <w:bottom w:val="none" w:sz="0" w:space="0" w:color="auto"/>
            <w:right w:val="none" w:sz="0" w:space="0" w:color="auto"/>
          </w:divBdr>
          <w:divsChild>
            <w:div w:id="2117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530">
      <w:bodyDiv w:val="1"/>
      <w:marLeft w:val="0"/>
      <w:marRight w:val="0"/>
      <w:marTop w:val="0"/>
      <w:marBottom w:val="0"/>
      <w:divBdr>
        <w:top w:val="none" w:sz="0" w:space="0" w:color="auto"/>
        <w:left w:val="none" w:sz="0" w:space="0" w:color="auto"/>
        <w:bottom w:val="none" w:sz="0" w:space="0" w:color="auto"/>
        <w:right w:val="none" w:sz="0" w:space="0" w:color="auto"/>
      </w:divBdr>
    </w:div>
    <w:div w:id="169052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16/j.scs.2019.1018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Santi Daniele La Rosa</cp:lastModifiedBy>
  <cp:revision>17</cp:revision>
  <dcterms:created xsi:type="dcterms:W3CDTF">2021-11-26T15:07:00Z</dcterms:created>
  <dcterms:modified xsi:type="dcterms:W3CDTF">2022-07-20T14:44:00Z</dcterms:modified>
</cp:coreProperties>
</file>