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6975E146" w:rsidR="00154E94" w:rsidRDefault="00821BF0">
      <w:pPr>
        <w:pStyle w:val="Titolo1"/>
        <w:rPr>
          <w:lang w:val="en-US"/>
        </w:rPr>
      </w:pPr>
      <w:r>
        <w:rPr>
          <w:lang w:val="en-US"/>
        </w:rPr>
        <w:t>Revised course</w:t>
      </w:r>
      <w:r w:rsidR="00EA2F9D" w:rsidRPr="00506C44">
        <w:rPr>
          <w:lang w:val="en-US"/>
        </w:rPr>
        <w:t>: “</w:t>
      </w:r>
      <w:r w:rsidR="000E3D1A" w:rsidRPr="00661704">
        <w:rPr>
          <w:rStyle w:val="apple-converted-space"/>
          <w:rFonts w:ascii="Times New Roman" w:hAnsi="Times New Roman" w:cs="Times New Roman"/>
          <w:color w:val="000000"/>
          <w:sz w:val="24"/>
          <w:shd w:val="clear" w:color="auto" w:fill="FFFFFF"/>
          <w:lang w:val="en-US"/>
        </w:rPr>
        <w:t>(</w:t>
      </w:r>
      <w:r w:rsidR="00B342F5">
        <w:rPr>
          <w:rStyle w:val="apple-converted-space"/>
          <w:rFonts w:ascii="Times New Roman" w:hAnsi="Times New Roman" w:cs="Times New Roman"/>
          <w:color w:val="000000"/>
          <w:sz w:val="24"/>
          <w:shd w:val="clear" w:color="auto" w:fill="FFFFFF"/>
          <w:lang w:val="en-US"/>
        </w:rPr>
        <w:t>NMR-2208</w:t>
      </w:r>
      <w:r w:rsidR="000E3D1A">
        <w:rPr>
          <w:rStyle w:val="apple-converted-space"/>
          <w:rFonts w:ascii="Times New Roman" w:hAnsi="Times New Roman" w:cs="Times New Roman"/>
          <w:color w:val="000000"/>
          <w:sz w:val="24"/>
          <w:shd w:val="clear" w:color="auto" w:fill="FFFFFF"/>
          <w:lang w:val="en-US"/>
        </w:rPr>
        <w:t>)</w:t>
      </w:r>
      <w:r w:rsidR="000E3D1A" w:rsidRPr="000E3D1A">
        <w:rPr>
          <w:rStyle w:val="apple-converted-space"/>
          <w:rFonts w:ascii="Times New Roman" w:hAnsi="Times New Roman" w:cs="Times New Roman"/>
          <w:color w:val="000000"/>
          <w:sz w:val="24"/>
          <w:shd w:val="clear" w:color="auto" w:fill="FFFFFF"/>
          <w:lang w:val="en-US"/>
        </w:rPr>
        <w:t xml:space="preserve"> </w:t>
      </w:r>
      <w:r w:rsidR="00A83ECF" w:rsidRPr="00A83ECF">
        <w:rPr>
          <w:rStyle w:val="apple-converted-space"/>
          <w:rFonts w:ascii="Times New Roman" w:hAnsi="Times New Roman" w:cs="Times New Roman"/>
          <w:color w:val="000000"/>
          <w:sz w:val="24"/>
          <w:shd w:val="clear" w:color="auto" w:fill="FFFFFF"/>
          <w:lang w:val="en-US"/>
        </w:rPr>
        <w:t>Forest Management</w:t>
      </w:r>
      <w:r w:rsidR="00EA2F9D" w:rsidRPr="00506C44">
        <w:rPr>
          <w:lang w:val="en-US"/>
        </w:rPr>
        <w:t>”</w:t>
      </w:r>
    </w:p>
    <w:p w14:paraId="0816A9F0" w14:textId="0D372C8F" w:rsidR="00367411" w:rsidRPr="00A83ECF" w:rsidRDefault="00A83ECF" w:rsidP="00A83ECF">
      <w:pPr>
        <w:pStyle w:val="Titolo1"/>
        <w:rPr>
          <w:lang w:val="en-US"/>
        </w:rPr>
      </w:pPr>
      <w:r w:rsidRPr="00A83ECF">
        <w:rPr>
          <w:lang w:val="en-US"/>
        </w:rPr>
        <w:t>Sher-e-Kashmir University</w:t>
      </w:r>
      <w:r>
        <w:rPr>
          <w:lang w:val="en-US"/>
        </w:rPr>
        <w:t xml:space="preserve"> </w:t>
      </w:r>
      <w:r w:rsidRPr="00A83ECF">
        <w:rPr>
          <w:lang w:val="en-US"/>
        </w:rPr>
        <w:t>of Agricultural Sciences &amp;</w:t>
      </w:r>
      <w:r>
        <w:rPr>
          <w:lang w:val="en-US"/>
        </w:rPr>
        <w:t xml:space="preserve"> </w:t>
      </w:r>
      <w:r w:rsidRPr="00A83ECF">
        <w:rPr>
          <w:lang w:val="en-US"/>
        </w:rPr>
        <w:t>Technology of Kashmir</w:t>
      </w:r>
    </w:p>
    <w:p w14:paraId="776430D9" w14:textId="18A59C13" w:rsidR="00826080" w:rsidRPr="00506C44" w:rsidRDefault="00B342F5">
      <w:pPr>
        <w:pStyle w:val="Titolo1"/>
        <w:rPr>
          <w:lang w:val="en-US"/>
        </w:rPr>
      </w:pPr>
      <w:r>
        <w:rPr>
          <w:color w:val="000000"/>
          <w:lang w:val="en-US"/>
        </w:rPr>
        <w:t>Bachelor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8C77D4"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C77D4" w:rsidRPr="008C77D4"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02A8E4C" w14:textId="77777777" w:rsidR="008C77D4" w:rsidRPr="00793EEC" w:rsidRDefault="008C77D4" w:rsidP="008C77D4">
            <w:pPr>
              <w:numPr>
                <w:ilvl w:val="0"/>
                <w:numId w:val="1"/>
              </w:numPr>
              <w:spacing w:after="0"/>
              <w:ind w:hanging="360"/>
              <w:rPr>
                <w:i/>
                <w:sz w:val="20"/>
                <w:lang w:val="en-US"/>
              </w:rPr>
            </w:pPr>
            <w:r w:rsidRPr="00793EEC">
              <w:rPr>
                <w:i/>
                <w:sz w:val="20"/>
                <w:lang w:val="en-US"/>
              </w:rPr>
              <w:t xml:space="preserve">Evaluation </w:t>
            </w:r>
          </w:p>
          <w:p w14:paraId="7BA1BA6B" w14:textId="77777777" w:rsidR="008C77D4" w:rsidRPr="00FA316C" w:rsidRDefault="008C77D4" w:rsidP="008C77D4">
            <w:pPr>
              <w:spacing w:after="0"/>
              <w:rPr>
                <w:lang w:val="en-US"/>
              </w:rPr>
            </w:pPr>
            <w:r w:rsidRPr="00FA316C">
              <w:rPr>
                <w:lang w:val="en-US"/>
              </w:rPr>
              <w:t xml:space="preserve">In general the number of hours for lectures (32 hours), </w:t>
            </w:r>
            <w:r>
              <w:rPr>
                <w:lang w:val="en-US"/>
              </w:rPr>
              <w:t>in class practical</w:t>
            </w:r>
            <w:r w:rsidRPr="00FA316C">
              <w:rPr>
                <w:lang w:val="en-US"/>
              </w:rPr>
              <w:t xml:space="preserve"> exercises </w:t>
            </w:r>
            <w:r>
              <w:rPr>
                <w:lang w:val="en-US"/>
              </w:rPr>
              <w:t xml:space="preserve">(32 hours) </w:t>
            </w:r>
            <w:r w:rsidRPr="00FA316C">
              <w:rPr>
                <w:lang w:val="en-US"/>
              </w:rPr>
              <w:t>is correctly designed</w:t>
            </w:r>
            <w:r>
              <w:rPr>
                <w:lang w:val="en-US"/>
              </w:rPr>
              <w:t xml:space="preserve"> for a rather practical course. </w:t>
            </w:r>
          </w:p>
          <w:p w14:paraId="06799FA6" w14:textId="77777777" w:rsidR="008C77D4" w:rsidRPr="00FA316C" w:rsidRDefault="008C77D4" w:rsidP="008C77D4">
            <w:pPr>
              <w:spacing w:after="0"/>
              <w:rPr>
                <w:lang w:val="en-US"/>
              </w:rPr>
            </w:pPr>
          </w:p>
          <w:p w14:paraId="313EA073" w14:textId="0769607E" w:rsidR="008C77D4" w:rsidRDefault="008C77D4" w:rsidP="008C77D4">
            <w:pPr>
              <w:spacing w:after="0"/>
              <w:rPr>
                <w:lang w:val="en-US"/>
              </w:rPr>
            </w:pPr>
            <w:r w:rsidRPr="00FA316C">
              <w:rPr>
                <w:lang w:val="en-US"/>
              </w:rPr>
              <w:t xml:space="preserve">The </w:t>
            </w:r>
            <w:r w:rsidR="006A7E5A">
              <w:rPr>
                <w:lang w:val="en-US"/>
              </w:rPr>
              <w:t>6</w:t>
            </w:r>
            <w:r w:rsidRPr="00FA316C">
              <w:rPr>
                <w:lang w:val="en-US"/>
              </w:rPr>
              <w:t xml:space="preserve"> foreseen units give to the students a good background </w:t>
            </w:r>
            <w:r>
              <w:rPr>
                <w:lang w:val="en-US"/>
              </w:rPr>
              <w:t>o</w:t>
            </w:r>
            <w:r w:rsidR="006A7E5A">
              <w:rPr>
                <w:lang w:val="en-US"/>
              </w:rPr>
              <w:t>n</w:t>
            </w:r>
            <w:r>
              <w:rPr>
                <w:lang w:val="en-US"/>
              </w:rPr>
              <w:t xml:space="preserve"> </w:t>
            </w:r>
            <w:r w:rsidR="001637D2">
              <w:rPr>
                <w:lang w:val="en-US"/>
              </w:rPr>
              <w:t xml:space="preserve">Forest </w:t>
            </w:r>
            <w:r>
              <w:rPr>
                <w:lang w:val="en-US"/>
              </w:rPr>
              <w:t>management</w:t>
            </w:r>
            <w:bookmarkStart w:id="0" w:name="_GoBack"/>
            <w:bookmarkEnd w:id="0"/>
            <w:r w:rsidR="006A7E5A">
              <w:rPr>
                <w:lang w:val="en-US"/>
              </w:rPr>
              <w:t>, with a good emphasis on contemporary conservation and planning approaches for forest</w:t>
            </w:r>
            <w:r w:rsidR="00933649">
              <w:rPr>
                <w:lang w:val="en-US"/>
              </w:rPr>
              <w:t>, even for urban environment.</w:t>
            </w:r>
          </w:p>
          <w:p w14:paraId="0DE8784C" w14:textId="77777777" w:rsidR="008C77D4" w:rsidRPr="00FA316C" w:rsidRDefault="008C77D4" w:rsidP="008C77D4">
            <w:pPr>
              <w:spacing w:after="0"/>
              <w:rPr>
                <w:lang w:val="en-US"/>
              </w:rPr>
            </w:pPr>
          </w:p>
          <w:p w14:paraId="60197FBB" w14:textId="4E8F7C62" w:rsidR="00E10380" w:rsidRPr="00FA316C" w:rsidRDefault="008C77D4" w:rsidP="008C77D4">
            <w:pPr>
              <w:spacing w:after="0"/>
              <w:rPr>
                <w:lang w:val="en-US"/>
              </w:rPr>
            </w:pPr>
            <w:r w:rsidRPr="00FA316C">
              <w:rPr>
                <w:lang w:val="en-US"/>
              </w:rPr>
              <w:t xml:space="preserve">The units contain a balanced numbers of learning objectives and outcomes sustainable </w:t>
            </w:r>
            <w:r>
              <w:rPr>
                <w:lang w:val="en-US"/>
              </w:rPr>
              <w:t>to reach a</w:t>
            </w:r>
            <w:r w:rsidRPr="00FA316C">
              <w:rPr>
                <w:lang w:val="en-US"/>
              </w:rPr>
              <w:t xml:space="preserve"> good level of learning.</w:t>
            </w:r>
          </w:p>
          <w:p w14:paraId="18701DA8" w14:textId="77777777" w:rsidR="008C77D4" w:rsidRPr="00793EEC" w:rsidRDefault="008C77D4" w:rsidP="008C77D4">
            <w:pPr>
              <w:spacing w:after="0"/>
              <w:ind w:left="360"/>
              <w:rPr>
                <w:i/>
                <w:sz w:val="20"/>
                <w:lang w:val="en-US"/>
              </w:rPr>
            </w:pPr>
          </w:p>
          <w:p w14:paraId="202E6A09" w14:textId="77777777" w:rsidR="008C77D4" w:rsidRPr="00793EEC" w:rsidRDefault="008C77D4" w:rsidP="008C77D4">
            <w:pPr>
              <w:spacing w:after="0"/>
              <w:rPr>
                <w:i/>
                <w:sz w:val="20"/>
                <w:lang w:val="en-US"/>
              </w:rPr>
            </w:pPr>
            <w:r w:rsidRPr="00793EEC">
              <w:rPr>
                <w:i/>
                <w:sz w:val="20"/>
                <w:lang w:val="en-US"/>
              </w:rPr>
              <w:t>•</w:t>
            </w:r>
            <w:r w:rsidRPr="00793EEC">
              <w:rPr>
                <w:i/>
                <w:sz w:val="20"/>
                <w:lang w:val="en-US"/>
              </w:rPr>
              <w:tab/>
              <w:t xml:space="preserve">Strategies for improvement </w:t>
            </w:r>
          </w:p>
          <w:p w14:paraId="23EEDAC3" w14:textId="47787824" w:rsidR="008C77D4" w:rsidRPr="00506C44" w:rsidRDefault="008C77D4" w:rsidP="008C77D4">
            <w:pPr>
              <w:spacing w:after="0"/>
              <w:rPr>
                <w:lang w:val="en-US"/>
              </w:rPr>
            </w:pPr>
            <w:r w:rsidRPr="00922EEF">
              <w:rPr>
                <w:lang w:val="en-US"/>
              </w:rPr>
              <w:t>Some workload allocated for self-study and should be added, for example 25-30 hours for home studying</w:t>
            </w:r>
            <w:r w:rsidR="006A7E5A">
              <w:rPr>
                <w:lang w:val="en-US"/>
              </w:rPr>
              <w:t>.</w:t>
            </w:r>
          </w:p>
        </w:tc>
      </w:tr>
      <w:tr w:rsidR="008C77D4" w:rsidRPr="008C77D4"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5EBF0C8F" w:rsidR="008C77D4" w:rsidRPr="00506C44" w:rsidRDefault="008C77D4" w:rsidP="008C77D4">
            <w:pPr>
              <w:spacing w:after="0"/>
              <w:ind w:left="53"/>
              <w:rPr>
                <w:lang w:val="en-US"/>
              </w:rPr>
            </w:pPr>
            <w:r w:rsidRPr="00506C44">
              <w:rPr>
                <w:color w:val="002060"/>
                <w:sz w:val="20"/>
                <w:lang w:val="en-US"/>
              </w:rPr>
              <w:t xml:space="preserve">Quality criteria 2: Total number of credit units in the course is correct and appropriate </w:t>
            </w:r>
          </w:p>
        </w:tc>
      </w:tr>
      <w:tr w:rsidR="008C77D4" w:rsidRPr="008C77D4"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6251A369" w14:textId="77777777" w:rsidR="008C77D4" w:rsidRPr="005241DA" w:rsidRDefault="008C77D4" w:rsidP="008C77D4">
            <w:pPr>
              <w:numPr>
                <w:ilvl w:val="0"/>
                <w:numId w:val="2"/>
              </w:numPr>
              <w:spacing w:after="0"/>
              <w:ind w:hanging="360"/>
            </w:pPr>
            <w:r w:rsidRPr="005241DA">
              <w:rPr>
                <w:i/>
                <w:sz w:val="20"/>
              </w:rPr>
              <w:t xml:space="preserve">Evaluation </w:t>
            </w:r>
          </w:p>
          <w:p w14:paraId="7791CF35" w14:textId="6E919A52" w:rsidR="008C77D4" w:rsidRPr="00225F33" w:rsidRDefault="008C77D4" w:rsidP="008C77D4">
            <w:pPr>
              <w:tabs>
                <w:tab w:val="left" w:pos="1853"/>
              </w:tabs>
              <w:spacing w:after="0"/>
              <w:ind w:right="52"/>
              <w:jc w:val="both"/>
              <w:rPr>
                <w:lang w:val="en-US"/>
              </w:rPr>
            </w:pPr>
            <w:r w:rsidRPr="005241DA">
              <w:rPr>
                <w:color w:val="auto"/>
                <w:lang w:val="en-US"/>
              </w:rPr>
              <w:t xml:space="preserve">The indicated number of ECTS is </w:t>
            </w:r>
            <w:r>
              <w:rPr>
                <w:color w:val="auto"/>
                <w:lang w:val="en-US"/>
              </w:rPr>
              <w:t>3</w:t>
            </w:r>
            <w:r w:rsidRPr="005241DA">
              <w:rPr>
                <w:color w:val="auto"/>
                <w:lang w:val="en-US"/>
              </w:rPr>
              <w:t xml:space="preserve">, but according to the actual length and </w:t>
            </w:r>
            <w:r>
              <w:rPr>
                <w:color w:val="auto"/>
                <w:lang w:val="en-US"/>
              </w:rPr>
              <w:t>total</w:t>
            </w:r>
            <w:r w:rsidRPr="005241DA">
              <w:rPr>
                <w:color w:val="auto"/>
                <w:lang w:val="en-US"/>
              </w:rPr>
              <w:t xml:space="preserve"> workload,</w:t>
            </w:r>
            <w:r w:rsidR="00933649">
              <w:rPr>
                <w:color w:val="auto"/>
                <w:lang w:val="en-US"/>
              </w:rPr>
              <w:t xml:space="preserve"> ECTS</w:t>
            </w:r>
            <w:r w:rsidRPr="005241DA">
              <w:rPr>
                <w:color w:val="auto"/>
                <w:lang w:val="en-US"/>
              </w:rPr>
              <w:t xml:space="preserve"> can be increased to </w:t>
            </w:r>
            <w:r>
              <w:rPr>
                <w:color w:val="auto"/>
                <w:lang w:val="en-US"/>
              </w:rPr>
              <w:t>4-5</w:t>
            </w:r>
            <w:r w:rsidRPr="005241DA">
              <w:rPr>
                <w:color w:val="auto"/>
                <w:lang w:val="en-US"/>
              </w:rPr>
              <w:t xml:space="preserve"> ECTS</w:t>
            </w:r>
            <w:r w:rsidR="009F536C">
              <w:rPr>
                <w:color w:val="auto"/>
                <w:lang w:val="en-US"/>
              </w:rPr>
              <w:t>. This will be dependent</w:t>
            </w:r>
            <w:r w:rsidR="006A7E5A">
              <w:rPr>
                <w:color w:val="auto"/>
                <w:lang w:val="en-US"/>
              </w:rPr>
              <w:t xml:space="preserve"> on </w:t>
            </w:r>
            <w:r w:rsidR="009F536C">
              <w:rPr>
                <w:color w:val="auto"/>
                <w:lang w:val="en-US"/>
              </w:rPr>
              <w:t>the total number of class hours</w:t>
            </w:r>
            <w:r w:rsidR="00E10380">
              <w:rPr>
                <w:color w:val="auto"/>
                <w:lang w:val="en-US"/>
              </w:rPr>
              <w:t xml:space="preserve"> i</w:t>
            </w:r>
            <w:r w:rsidR="009F536C">
              <w:rPr>
                <w:color w:val="auto"/>
                <w:lang w:val="en-US"/>
              </w:rPr>
              <w:t xml:space="preserve">ncluding exercise </w:t>
            </w:r>
            <w:r w:rsidR="00E10380">
              <w:rPr>
                <w:color w:val="auto"/>
                <w:lang w:val="en-US"/>
              </w:rPr>
              <w:t>but excluding for example field trips and visits to forests</w:t>
            </w:r>
          </w:p>
        </w:tc>
      </w:tr>
      <w:tr w:rsidR="008C77D4" w:rsidRPr="008C77D4"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C77D4" w:rsidRPr="00506C44" w:rsidRDefault="008C77D4" w:rsidP="008C77D4">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8C77D4" w:rsidRPr="008C77D4"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C77D4" w:rsidRPr="00555B50" w:rsidRDefault="008C77D4" w:rsidP="008C77D4">
            <w:pPr>
              <w:numPr>
                <w:ilvl w:val="0"/>
                <w:numId w:val="3"/>
              </w:numPr>
              <w:spacing w:after="0"/>
              <w:ind w:hanging="360"/>
              <w:rPr>
                <w:color w:val="auto"/>
              </w:rPr>
            </w:pPr>
            <w:r w:rsidRPr="00555B50">
              <w:rPr>
                <w:i/>
                <w:color w:val="auto"/>
                <w:sz w:val="20"/>
              </w:rPr>
              <w:t xml:space="preserve">Evaluation </w:t>
            </w:r>
          </w:p>
          <w:p w14:paraId="1F3170B1" w14:textId="74B45835" w:rsidR="008C77D4" w:rsidRPr="00555B50" w:rsidRDefault="008C77D4" w:rsidP="008C77D4">
            <w:pPr>
              <w:spacing w:after="43"/>
              <w:ind w:right="45"/>
              <w:jc w:val="both"/>
              <w:rPr>
                <w:iCs/>
                <w:color w:val="auto"/>
                <w:lang w:val="en-US"/>
              </w:rPr>
            </w:pPr>
            <w:r w:rsidRPr="00555B50">
              <w:rPr>
                <w:iCs/>
                <w:color w:val="FF0000"/>
                <w:lang w:val="en-US"/>
              </w:rPr>
              <w:t>The course does not have reference in the official website</w:t>
            </w:r>
            <w:r w:rsidRPr="00555B50">
              <w:rPr>
                <w:iCs/>
                <w:color w:val="auto"/>
                <w:lang w:val="en-US"/>
              </w:rPr>
              <w:t>. The syllabus does not specify the basic prerequisites in terms of knowledge and skills.</w:t>
            </w:r>
          </w:p>
          <w:p w14:paraId="1FAFBA96" w14:textId="77777777" w:rsidR="008C77D4" w:rsidRPr="00555B50" w:rsidRDefault="008C77D4" w:rsidP="008C77D4">
            <w:pPr>
              <w:spacing w:after="0"/>
              <w:ind w:left="360"/>
              <w:rPr>
                <w:color w:val="auto"/>
                <w:lang w:val="en-US"/>
              </w:rPr>
            </w:pPr>
          </w:p>
          <w:p w14:paraId="46BD0A98" w14:textId="6EDFEDB9" w:rsidR="008C77D4" w:rsidRPr="00555B50" w:rsidRDefault="008C77D4" w:rsidP="008C77D4">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556A7230" w:rsidR="008C77D4" w:rsidRPr="00F1565E" w:rsidRDefault="008C77D4" w:rsidP="008C77D4">
            <w:pPr>
              <w:spacing w:after="0"/>
              <w:ind w:left="53" w:right="50"/>
              <w:jc w:val="both"/>
              <w:rPr>
                <w:color w:val="FF0000"/>
                <w:lang w:val="en-US"/>
              </w:rPr>
            </w:pPr>
            <w:r w:rsidRPr="00555B50">
              <w:rPr>
                <w:iCs/>
                <w:color w:val="auto"/>
                <w:lang w:val="en-US"/>
              </w:rPr>
              <w:t>Considering that the course is positioned in the I</w:t>
            </w:r>
            <w:r>
              <w:rPr>
                <w:iCs/>
                <w:color w:val="auto"/>
                <w:lang w:val="en-US"/>
              </w:rPr>
              <w:t>V</w:t>
            </w:r>
            <w:r w:rsidRPr="00555B50">
              <w:rPr>
                <w:iCs/>
                <w:color w:val="auto"/>
                <w:lang w:val="en-US"/>
              </w:rPr>
              <w:t xml:space="preserve"> semester, it should be highlighted if some prerequisites (to be achieved in the I</w:t>
            </w:r>
            <w:r>
              <w:rPr>
                <w:iCs/>
                <w:color w:val="auto"/>
                <w:lang w:val="en-US"/>
              </w:rPr>
              <w:t>II</w:t>
            </w:r>
            <w:r w:rsidRPr="00555B50">
              <w:rPr>
                <w:iCs/>
                <w:color w:val="auto"/>
                <w:lang w:val="en-US"/>
              </w:rPr>
              <w:t xml:space="preserve"> semester) are required.</w:t>
            </w:r>
          </w:p>
        </w:tc>
      </w:tr>
      <w:tr w:rsidR="008C77D4" w:rsidRPr="008C77D4"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8C77D4" w:rsidRPr="00555B50" w:rsidRDefault="008C77D4" w:rsidP="008C77D4">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8C77D4" w:rsidRPr="008C77D4"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8C77D4" w:rsidRPr="00555B50" w:rsidRDefault="008C77D4" w:rsidP="008C77D4">
            <w:pPr>
              <w:numPr>
                <w:ilvl w:val="0"/>
                <w:numId w:val="3"/>
              </w:numPr>
              <w:spacing w:after="0"/>
              <w:ind w:hanging="360"/>
              <w:rPr>
                <w:color w:val="auto"/>
              </w:rPr>
            </w:pPr>
            <w:r w:rsidRPr="00555B50">
              <w:rPr>
                <w:i/>
                <w:color w:val="auto"/>
                <w:sz w:val="20"/>
              </w:rPr>
              <w:lastRenderedPageBreak/>
              <w:t xml:space="preserve">Evaluation </w:t>
            </w:r>
          </w:p>
          <w:p w14:paraId="3BAC637A" w14:textId="758DB3FC" w:rsidR="008C77D4" w:rsidRPr="00555B50" w:rsidRDefault="008C77D4" w:rsidP="008C77D4">
            <w:pPr>
              <w:spacing w:after="43"/>
              <w:ind w:right="45"/>
              <w:jc w:val="both"/>
              <w:rPr>
                <w:color w:val="auto"/>
                <w:lang w:val="en-US"/>
              </w:rPr>
            </w:pPr>
            <w:r w:rsidRPr="00555B50">
              <w:rPr>
                <w:color w:val="auto"/>
                <w:lang w:val="en-US"/>
              </w:rPr>
              <w:t xml:space="preserve">Individual and group assignments are well describe and framed within the course. However, evaluation criteria </w:t>
            </w:r>
            <w:r>
              <w:rPr>
                <w:color w:val="auto"/>
                <w:lang w:val="en-US"/>
              </w:rPr>
              <w:t>could be better</w:t>
            </w:r>
            <w:r w:rsidRPr="00555B50">
              <w:rPr>
                <w:color w:val="auto"/>
                <w:lang w:val="en-US"/>
              </w:rPr>
              <w:t xml:space="preserve"> detailed</w:t>
            </w:r>
            <w:r>
              <w:rPr>
                <w:color w:val="auto"/>
                <w:lang w:val="en-US"/>
              </w:rPr>
              <w:t>.</w:t>
            </w:r>
          </w:p>
          <w:p w14:paraId="28EC46AF" w14:textId="77777777" w:rsidR="008C77D4" w:rsidRPr="00555B50" w:rsidRDefault="008C77D4" w:rsidP="008C77D4">
            <w:pPr>
              <w:spacing w:after="43"/>
              <w:ind w:right="45"/>
              <w:jc w:val="both"/>
              <w:rPr>
                <w:color w:val="auto"/>
                <w:lang w:val="en-US"/>
              </w:rPr>
            </w:pPr>
          </w:p>
          <w:p w14:paraId="11E9C54E" w14:textId="2113A790" w:rsidR="008C77D4" w:rsidRPr="00555B50" w:rsidRDefault="008C77D4" w:rsidP="008C77D4">
            <w:pPr>
              <w:numPr>
                <w:ilvl w:val="0"/>
                <w:numId w:val="3"/>
              </w:numPr>
              <w:spacing w:after="0"/>
              <w:ind w:hanging="360"/>
              <w:rPr>
                <w:color w:val="auto"/>
                <w:lang w:val="en-US"/>
              </w:rPr>
            </w:pPr>
            <w:r w:rsidRPr="00555B50">
              <w:rPr>
                <w:i/>
                <w:color w:val="auto"/>
                <w:sz w:val="20"/>
                <w:lang w:val="en-US"/>
              </w:rPr>
              <w:t xml:space="preserve">Strategies for improvement </w:t>
            </w:r>
          </w:p>
          <w:p w14:paraId="049C35FA" w14:textId="583EC1FB" w:rsidR="008C77D4" w:rsidRPr="00F1565E" w:rsidRDefault="008C77D4" w:rsidP="008C77D4">
            <w:pPr>
              <w:spacing w:after="43"/>
              <w:ind w:right="45"/>
              <w:jc w:val="both"/>
              <w:rPr>
                <w:color w:val="FF0000"/>
                <w:lang w:val="en-US"/>
              </w:rPr>
            </w:pPr>
            <w:r w:rsidRPr="00555B50">
              <w:rPr>
                <w:color w:val="auto"/>
                <w:lang w:val="en-US"/>
              </w:rPr>
              <w:t xml:space="preserve">More details could be added to describe the type of mid-term and final examination (written test, discussion, quiz). </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8C77D4"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D424F8"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555B50" w:rsidRDefault="007A4578" w:rsidP="007A4578">
            <w:pPr>
              <w:numPr>
                <w:ilvl w:val="0"/>
                <w:numId w:val="3"/>
              </w:numPr>
              <w:spacing w:after="0"/>
              <w:ind w:hanging="360"/>
              <w:rPr>
                <w:i/>
                <w:color w:val="auto"/>
                <w:sz w:val="20"/>
              </w:rPr>
            </w:pPr>
            <w:r w:rsidRPr="00555B50">
              <w:rPr>
                <w:i/>
                <w:color w:val="auto"/>
                <w:sz w:val="20"/>
              </w:rPr>
              <w:t>Evaluation</w:t>
            </w:r>
          </w:p>
          <w:p w14:paraId="6D7FD87D" w14:textId="32FF7582" w:rsidR="00A64A29" w:rsidRPr="0019762D" w:rsidRDefault="00661704" w:rsidP="007A4578">
            <w:pPr>
              <w:spacing w:after="43"/>
              <w:ind w:right="45"/>
              <w:jc w:val="both"/>
              <w:rPr>
                <w:color w:val="auto"/>
                <w:lang w:val="en-US"/>
              </w:rPr>
            </w:pPr>
            <w:r w:rsidRPr="0019762D">
              <w:rPr>
                <w:color w:val="auto"/>
                <w:lang w:val="en-US"/>
              </w:rPr>
              <w:t xml:space="preserve">Teaching </w:t>
            </w:r>
            <w:r w:rsidR="00154C33" w:rsidRPr="0019762D">
              <w:rPr>
                <w:color w:val="auto"/>
                <w:lang w:val="en-US"/>
              </w:rPr>
              <w:t xml:space="preserve">and learning methods are mixed </w:t>
            </w:r>
            <w:r w:rsidR="0019762D" w:rsidRPr="0019762D">
              <w:rPr>
                <w:color w:val="auto"/>
                <w:lang w:val="en-US"/>
              </w:rPr>
              <w:t>through</w:t>
            </w:r>
            <w:r w:rsidR="00154C33" w:rsidRPr="0019762D">
              <w:rPr>
                <w:color w:val="auto"/>
                <w:lang w:val="en-US"/>
              </w:rPr>
              <w:t xml:space="preserve"> a </w:t>
            </w:r>
            <w:r w:rsidR="00AC216E" w:rsidRPr="0019762D">
              <w:rPr>
                <w:color w:val="auto"/>
                <w:lang w:val="en-US"/>
              </w:rPr>
              <w:t xml:space="preserve">pretty </w:t>
            </w:r>
            <w:r w:rsidR="00D84B81" w:rsidRPr="0019762D">
              <w:rPr>
                <w:color w:val="auto"/>
                <w:lang w:val="en-US"/>
              </w:rPr>
              <w:t xml:space="preserve">actual </w:t>
            </w:r>
            <w:r w:rsidR="0019762D" w:rsidRPr="0019762D">
              <w:rPr>
                <w:color w:val="auto"/>
                <w:lang w:val="en-US"/>
              </w:rPr>
              <w:t>approach, including taught classes and group discussions and practical visits.</w:t>
            </w:r>
          </w:p>
          <w:p w14:paraId="19401912" w14:textId="53C222DB" w:rsidR="001B41BC" w:rsidRPr="0019762D" w:rsidRDefault="007A4578" w:rsidP="00E50F23">
            <w:pPr>
              <w:spacing w:after="43"/>
              <w:ind w:right="45"/>
              <w:jc w:val="both"/>
              <w:rPr>
                <w:color w:val="auto"/>
                <w:lang w:val="en-US"/>
              </w:rPr>
            </w:pPr>
            <w:r w:rsidRPr="0019762D">
              <w:rPr>
                <w:color w:val="auto"/>
                <w:lang w:val="en-US"/>
              </w:rPr>
              <w:t xml:space="preserve">The list of </w:t>
            </w:r>
            <w:r w:rsidR="00555B50" w:rsidRPr="0019762D">
              <w:rPr>
                <w:color w:val="auto"/>
                <w:lang w:val="en-US"/>
              </w:rPr>
              <w:t xml:space="preserve">materials/books </w:t>
            </w:r>
            <w:r w:rsidR="004540A3">
              <w:rPr>
                <w:color w:val="auto"/>
                <w:lang w:val="en-US"/>
              </w:rPr>
              <w:t>could be improved</w:t>
            </w:r>
            <w:r w:rsidR="0019762D">
              <w:rPr>
                <w:color w:val="auto"/>
                <w:lang w:val="en-US"/>
              </w:rPr>
              <w:t>.</w:t>
            </w:r>
          </w:p>
          <w:p w14:paraId="5C49CBA2" w14:textId="0EE5C553" w:rsidR="007A4578" w:rsidRPr="00555B50" w:rsidRDefault="007A4578" w:rsidP="00D06B5C">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7DBD5FE3" w14:textId="77777777" w:rsidR="001B41BC" w:rsidRDefault="00555B50" w:rsidP="002C2844">
            <w:pPr>
              <w:spacing w:after="43"/>
              <w:ind w:right="45"/>
              <w:jc w:val="both"/>
              <w:rPr>
                <w:color w:val="auto"/>
                <w:lang w:val="en-US"/>
              </w:rPr>
            </w:pPr>
            <w:r w:rsidRPr="00555B50">
              <w:rPr>
                <w:color w:val="auto"/>
                <w:lang w:val="en-US"/>
              </w:rPr>
              <w:t xml:space="preserve">Specify which part of the list of materials/books could be considered compulsory and which part recommended. Replace, if proper, some reference </w:t>
            </w:r>
            <w:r w:rsidR="004540A3">
              <w:rPr>
                <w:color w:val="auto"/>
                <w:lang w:val="en-US"/>
              </w:rPr>
              <w:t xml:space="preserve">or add </w:t>
            </w:r>
            <w:r w:rsidRPr="00555B50">
              <w:rPr>
                <w:color w:val="auto"/>
                <w:lang w:val="en-US"/>
              </w:rPr>
              <w:t>more recent one.</w:t>
            </w:r>
          </w:p>
          <w:p w14:paraId="02BE37A6" w14:textId="77777777" w:rsidR="004540A3" w:rsidRDefault="00B74574" w:rsidP="002C2844">
            <w:pPr>
              <w:spacing w:after="43"/>
              <w:ind w:right="45"/>
              <w:jc w:val="both"/>
              <w:rPr>
                <w:color w:val="auto"/>
                <w:lang w:val="en-US"/>
              </w:rPr>
            </w:pPr>
            <w:r>
              <w:rPr>
                <w:color w:val="auto"/>
                <w:lang w:val="en-US"/>
              </w:rPr>
              <w:t>Some very recent and interesting references that could be suggested follow below:</w:t>
            </w:r>
          </w:p>
          <w:p w14:paraId="54BF985F" w14:textId="56CD64AF" w:rsidR="008F5840" w:rsidRPr="008F5840" w:rsidRDefault="008F5840" w:rsidP="008F5840">
            <w:pPr>
              <w:spacing w:after="43"/>
              <w:ind w:right="45"/>
              <w:jc w:val="both"/>
              <w:rPr>
                <w:color w:val="auto"/>
                <w:lang w:val="en-US"/>
              </w:rPr>
            </w:pPr>
            <w:r>
              <w:rPr>
                <w:color w:val="auto"/>
                <w:lang w:val="en-US"/>
              </w:rPr>
              <w:t>-</w:t>
            </w:r>
            <w:r w:rsidRPr="008F5840">
              <w:rPr>
                <w:color w:val="auto"/>
                <w:lang w:val="en-US"/>
              </w:rPr>
              <w:t xml:space="preserve">Innes, J. L., &amp; </w:t>
            </w:r>
            <w:proofErr w:type="spellStart"/>
            <w:r w:rsidRPr="008F5840">
              <w:rPr>
                <w:color w:val="auto"/>
                <w:lang w:val="en-US"/>
              </w:rPr>
              <w:t>Tikina</w:t>
            </w:r>
            <w:proofErr w:type="spellEnd"/>
            <w:r w:rsidRPr="008F5840">
              <w:rPr>
                <w:color w:val="auto"/>
                <w:lang w:val="en-US"/>
              </w:rPr>
              <w:t xml:space="preserve"> Anna V. (2017). Sustainable forest management: from principles to practice. Abingdon, Oxon Routledge.</w:t>
            </w:r>
          </w:p>
          <w:p w14:paraId="6B12BCB1" w14:textId="61D4B580" w:rsidR="00B74574" w:rsidRPr="00B74574" w:rsidRDefault="008F5840" w:rsidP="008F5840">
            <w:pPr>
              <w:spacing w:after="43"/>
              <w:ind w:right="45"/>
              <w:jc w:val="both"/>
              <w:rPr>
                <w:color w:val="auto"/>
                <w:lang w:val="en-US"/>
              </w:rPr>
            </w:pPr>
            <w:r>
              <w:rPr>
                <w:color w:val="auto"/>
                <w:lang w:val="en-US"/>
              </w:rPr>
              <w:t>-</w:t>
            </w:r>
            <w:proofErr w:type="spellStart"/>
            <w:r w:rsidR="00B74574" w:rsidRPr="00B74574">
              <w:rPr>
                <w:color w:val="auto"/>
                <w:lang w:val="en-US"/>
              </w:rPr>
              <w:t>Pravat</w:t>
            </w:r>
            <w:proofErr w:type="spellEnd"/>
            <w:r w:rsidR="00B74574" w:rsidRPr="00B74574">
              <w:rPr>
                <w:color w:val="auto"/>
                <w:lang w:val="en-US"/>
              </w:rPr>
              <w:t xml:space="preserve"> Kumar Shit, Hamid Reza </w:t>
            </w:r>
            <w:proofErr w:type="spellStart"/>
            <w:r w:rsidR="00B74574" w:rsidRPr="00B74574">
              <w:rPr>
                <w:color w:val="auto"/>
                <w:lang w:val="en-US"/>
              </w:rPr>
              <w:t>Pourghasemi</w:t>
            </w:r>
            <w:proofErr w:type="spellEnd"/>
            <w:r w:rsidR="00B74574" w:rsidRPr="00B74574">
              <w:rPr>
                <w:color w:val="auto"/>
                <w:lang w:val="en-US"/>
              </w:rPr>
              <w:t xml:space="preserve">, </w:t>
            </w:r>
            <w:proofErr w:type="spellStart"/>
            <w:r w:rsidR="00B74574" w:rsidRPr="00B74574">
              <w:rPr>
                <w:color w:val="auto"/>
                <w:lang w:val="en-US"/>
              </w:rPr>
              <w:t>Partha</w:t>
            </w:r>
            <w:proofErr w:type="spellEnd"/>
            <w:r w:rsidR="00B74574" w:rsidRPr="00B74574">
              <w:rPr>
                <w:color w:val="auto"/>
                <w:lang w:val="en-US"/>
              </w:rPr>
              <w:t xml:space="preserve"> </w:t>
            </w:r>
            <w:proofErr w:type="spellStart"/>
            <w:r w:rsidR="00B74574" w:rsidRPr="00B74574">
              <w:rPr>
                <w:color w:val="auto"/>
                <w:lang w:val="en-US"/>
              </w:rPr>
              <w:t>Pratim</w:t>
            </w:r>
            <w:proofErr w:type="spellEnd"/>
            <w:r w:rsidR="00B74574" w:rsidRPr="00B74574">
              <w:rPr>
                <w:color w:val="auto"/>
                <w:lang w:val="en-US"/>
              </w:rPr>
              <w:t xml:space="preserve"> </w:t>
            </w:r>
            <w:proofErr w:type="spellStart"/>
            <w:r w:rsidR="00B74574" w:rsidRPr="00B74574">
              <w:rPr>
                <w:color w:val="auto"/>
                <w:lang w:val="en-US"/>
              </w:rPr>
              <w:t>Adhikary</w:t>
            </w:r>
            <w:proofErr w:type="spellEnd"/>
            <w:r w:rsidR="00B74574" w:rsidRPr="00B74574">
              <w:rPr>
                <w:color w:val="auto"/>
                <w:lang w:val="en-US"/>
              </w:rPr>
              <w:t xml:space="preserve">, </w:t>
            </w:r>
            <w:proofErr w:type="spellStart"/>
            <w:r w:rsidR="00B74574" w:rsidRPr="00B74574">
              <w:rPr>
                <w:color w:val="auto"/>
                <w:lang w:val="en-US"/>
              </w:rPr>
              <w:t>Gouri</w:t>
            </w:r>
            <w:proofErr w:type="spellEnd"/>
            <w:r w:rsidR="00B74574" w:rsidRPr="00B74574">
              <w:rPr>
                <w:color w:val="auto"/>
                <w:lang w:val="en-US"/>
              </w:rPr>
              <w:t xml:space="preserve"> Sankar </w:t>
            </w:r>
            <w:proofErr w:type="spellStart"/>
            <w:r w:rsidR="00B74574" w:rsidRPr="00B74574">
              <w:rPr>
                <w:color w:val="auto"/>
                <w:lang w:val="en-US"/>
              </w:rPr>
              <w:t>Bhunia</w:t>
            </w:r>
            <w:proofErr w:type="spellEnd"/>
            <w:r w:rsidR="00B74574" w:rsidRPr="00B74574">
              <w:rPr>
                <w:color w:val="auto"/>
                <w:lang w:val="en-US"/>
              </w:rPr>
              <w:t xml:space="preserve">, &amp; </w:t>
            </w:r>
            <w:proofErr w:type="spellStart"/>
            <w:r w:rsidR="00B74574" w:rsidRPr="00B74574">
              <w:rPr>
                <w:color w:val="auto"/>
                <w:lang w:val="en-US"/>
              </w:rPr>
              <w:t>Vishwambhar</w:t>
            </w:r>
            <w:proofErr w:type="spellEnd"/>
            <w:r w:rsidR="00B74574" w:rsidRPr="00B74574">
              <w:rPr>
                <w:color w:val="auto"/>
                <w:lang w:val="en-US"/>
              </w:rPr>
              <w:t xml:space="preserve"> Prasad Sati. (2021). Forest resources resilience and conflicts. Amsterdam: Elsevier.</w:t>
            </w:r>
          </w:p>
          <w:p w14:paraId="1731A028" w14:textId="495500B4" w:rsidR="00B74574" w:rsidRPr="004540A3" w:rsidRDefault="00B74574" w:rsidP="00B74574">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8C77D4" w14:paraId="1AB8F49B" w14:textId="77777777" w:rsidTr="0083311D">
        <w:trPr>
          <w:trHeight w:val="2058"/>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6F7BC89F" w:rsidR="00697CD8" w:rsidRDefault="00697CD8" w:rsidP="00E46CC8">
            <w:pPr>
              <w:spacing w:after="43"/>
              <w:ind w:right="45"/>
              <w:rPr>
                <w:color w:val="auto"/>
                <w:lang w:val="en-US"/>
              </w:rPr>
            </w:pPr>
            <w:r w:rsidRPr="00555B50">
              <w:rPr>
                <w:color w:val="auto"/>
                <w:lang w:val="en-US"/>
              </w:rPr>
              <w:t xml:space="preserve">Theory and practice-oriented </w:t>
            </w:r>
            <w:r w:rsidR="00C93A5E" w:rsidRPr="00555B50">
              <w:rPr>
                <w:color w:val="auto"/>
                <w:lang w:val="en-US"/>
              </w:rPr>
              <w:t xml:space="preserve">are </w:t>
            </w:r>
            <w:r w:rsidR="00555B50" w:rsidRPr="00555B50">
              <w:rPr>
                <w:color w:val="auto"/>
                <w:lang w:val="en-US"/>
              </w:rPr>
              <w:t>balanced in terms of learning hours and</w:t>
            </w:r>
            <w:r w:rsidRPr="00555B50">
              <w:rPr>
                <w:color w:val="auto"/>
                <w:lang w:val="en-US"/>
              </w:rPr>
              <w:t xml:space="preserve"> well connected </w:t>
            </w:r>
            <w:r w:rsidR="00E46CC8" w:rsidRPr="00555B50">
              <w:rPr>
                <w:color w:val="auto"/>
                <w:lang w:val="en-US"/>
              </w:rPr>
              <w:t xml:space="preserve">to </w:t>
            </w:r>
            <w:r w:rsidRPr="00555B50">
              <w:rPr>
                <w:color w:val="auto"/>
                <w:lang w:val="en-US"/>
              </w:rPr>
              <w:t>learning outcomes and target skills</w:t>
            </w:r>
            <w:r w:rsidR="00555B50" w:rsidRPr="00555B50">
              <w:rPr>
                <w:color w:val="auto"/>
                <w:lang w:val="en-US"/>
              </w:rPr>
              <w:t>.</w:t>
            </w:r>
          </w:p>
          <w:p w14:paraId="7ACC6FBF" w14:textId="77777777" w:rsidR="0083311D" w:rsidRPr="00555B50" w:rsidRDefault="0083311D" w:rsidP="00E46CC8">
            <w:pPr>
              <w:spacing w:after="43"/>
              <w:ind w:right="45"/>
              <w:rPr>
                <w:color w:val="auto"/>
                <w:lang w:val="en-US"/>
              </w:rPr>
            </w:pP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3244B3B5" w:rsidR="00697CD8" w:rsidRPr="00555B50" w:rsidRDefault="00863422" w:rsidP="00697CD8">
            <w:pPr>
              <w:spacing w:after="43"/>
              <w:ind w:right="45"/>
              <w:jc w:val="both"/>
              <w:rPr>
                <w:color w:val="auto"/>
                <w:lang w:val="en-US"/>
              </w:rPr>
            </w:pPr>
            <w:r>
              <w:rPr>
                <w:color w:val="auto"/>
                <w:lang w:val="en-US"/>
              </w:rPr>
              <w:t>No additional strategies are required</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DAF9" w14:textId="77777777" w:rsidR="00DE1B4A" w:rsidRDefault="00DE1B4A">
      <w:pPr>
        <w:spacing w:after="0"/>
      </w:pPr>
      <w:r>
        <w:separator/>
      </w:r>
    </w:p>
  </w:endnote>
  <w:endnote w:type="continuationSeparator" w:id="0">
    <w:p w14:paraId="5F6403A0" w14:textId="77777777" w:rsidR="00DE1B4A" w:rsidRDefault="00DE1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DF63" w14:textId="77777777" w:rsidR="00DE1B4A" w:rsidRDefault="00DE1B4A">
      <w:pPr>
        <w:spacing w:after="0"/>
      </w:pPr>
      <w:r>
        <w:separator/>
      </w:r>
    </w:p>
  </w:footnote>
  <w:footnote w:type="continuationSeparator" w:id="0">
    <w:p w14:paraId="437E2278" w14:textId="77777777" w:rsidR="00DE1B4A" w:rsidRDefault="00DE1B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35C160BD"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2B7ABD" w:rsidRPr="00A93E13">
      <w:rPr>
        <w:noProof/>
      </w:rPr>
      <w:drawing>
        <wp:inline distT="0" distB="0" distL="0" distR="0" wp14:anchorId="56A9071A" wp14:editId="2D82657C">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C0344"/>
    <w:rsid w:val="000E3D1A"/>
    <w:rsid w:val="000F7977"/>
    <w:rsid w:val="00116717"/>
    <w:rsid w:val="00130B69"/>
    <w:rsid w:val="00142E6B"/>
    <w:rsid w:val="00145D24"/>
    <w:rsid w:val="00154C33"/>
    <w:rsid w:val="00154E94"/>
    <w:rsid w:val="001606D5"/>
    <w:rsid w:val="00161913"/>
    <w:rsid w:val="001637D2"/>
    <w:rsid w:val="00176D9C"/>
    <w:rsid w:val="00177427"/>
    <w:rsid w:val="00183B00"/>
    <w:rsid w:val="0019762D"/>
    <w:rsid w:val="001A4D8F"/>
    <w:rsid w:val="001A6985"/>
    <w:rsid w:val="001A79A8"/>
    <w:rsid w:val="001B41BC"/>
    <w:rsid w:val="001C1320"/>
    <w:rsid w:val="001D2023"/>
    <w:rsid w:val="001D3441"/>
    <w:rsid w:val="001E7A28"/>
    <w:rsid w:val="00200937"/>
    <w:rsid w:val="00205113"/>
    <w:rsid w:val="00217A54"/>
    <w:rsid w:val="00224898"/>
    <w:rsid w:val="00225F33"/>
    <w:rsid w:val="00250701"/>
    <w:rsid w:val="00252987"/>
    <w:rsid w:val="00280723"/>
    <w:rsid w:val="0029036A"/>
    <w:rsid w:val="00295C9A"/>
    <w:rsid w:val="002B03AE"/>
    <w:rsid w:val="002B7ABD"/>
    <w:rsid w:val="002C1148"/>
    <w:rsid w:val="002C2844"/>
    <w:rsid w:val="002D712F"/>
    <w:rsid w:val="002E1395"/>
    <w:rsid w:val="002F0333"/>
    <w:rsid w:val="00340A6A"/>
    <w:rsid w:val="00345920"/>
    <w:rsid w:val="00347CDC"/>
    <w:rsid w:val="00367411"/>
    <w:rsid w:val="00374E86"/>
    <w:rsid w:val="00382381"/>
    <w:rsid w:val="00387063"/>
    <w:rsid w:val="003A6F26"/>
    <w:rsid w:val="0040284F"/>
    <w:rsid w:val="00403F7B"/>
    <w:rsid w:val="004044F0"/>
    <w:rsid w:val="00410E19"/>
    <w:rsid w:val="0041371D"/>
    <w:rsid w:val="004210E8"/>
    <w:rsid w:val="0043613F"/>
    <w:rsid w:val="00445122"/>
    <w:rsid w:val="004540A3"/>
    <w:rsid w:val="004713CA"/>
    <w:rsid w:val="00484B4D"/>
    <w:rsid w:val="004856A4"/>
    <w:rsid w:val="004A234C"/>
    <w:rsid w:val="004B508B"/>
    <w:rsid w:val="004C1DD1"/>
    <w:rsid w:val="00506C44"/>
    <w:rsid w:val="0051101E"/>
    <w:rsid w:val="00555B50"/>
    <w:rsid w:val="00560240"/>
    <w:rsid w:val="00561C08"/>
    <w:rsid w:val="00582A61"/>
    <w:rsid w:val="00593648"/>
    <w:rsid w:val="005974C1"/>
    <w:rsid w:val="005B745A"/>
    <w:rsid w:val="00602E68"/>
    <w:rsid w:val="00621A15"/>
    <w:rsid w:val="00621F34"/>
    <w:rsid w:val="006347D9"/>
    <w:rsid w:val="0065311D"/>
    <w:rsid w:val="00661704"/>
    <w:rsid w:val="0067374C"/>
    <w:rsid w:val="00677052"/>
    <w:rsid w:val="00697CD8"/>
    <w:rsid w:val="006A7E5A"/>
    <w:rsid w:val="006C4221"/>
    <w:rsid w:val="006E29B2"/>
    <w:rsid w:val="00730749"/>
    <w:rsid w:val="00734E4D"/>
    <w:rsid w:val="0073611D"/>
    <w:rsid w:val="00736ED7"/>
    <w:rsid w:val="007602F4"/>
    <w:rsid w:val="00764B84"/>
    <w:rsid w:val="007A4578"/>
    <w:rsid w:val="007B5085"/>
    <w:rsid w:val="007C40A4"/>
    <w:rsid w:val="007F4034"/>
    <w:rsid w:val="00806D44"/>
    <w:rsid w:val="00821BF0"/>
    <w:rsid w:val="00826080"/>
    <w:rsid w:val="0083311D"/>
    <w:rsid w:val="00836E1A"/>
    <w:rsid w:val="00837B99"/>
    <w:rsid w:val="00853A04"/>
    <w:rsid w:val="00863422"/>
    <w:rsid w:val="00873E0C"/>
    <w:rsid w:val="008945AA"/>
    <w:rsid w:val="008A0253"/>
    <w:rsid w:val="008A4C07"/>
    <w:rsid w:val="008B0071"/>
    <w:rsid w:val="008B54A7"/>
    <w:rsid w:val="008C77D4"/>
    <w:rsid w:val="008D47F7"/>
    <w:rsid w:val="008E5916"/>
    <w:rsid w:val="008F1A1A"/>
    <w:rsid w:val="008F5840"/>
    <w:rsid w:val="00933649"/>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536C"/>
    <w:rsid w:val="009F79F9"/>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D737C"/>
    <w:rsid w:val="00BE4C86"/>
    <w:rsid w:val="00C0376D"/>
    <w:rsid w:val="00C074F5"/>
    <w:rsid w:val="00C13FD3"/>
    <w:rsid w:val="00C1556F"/>
    <w:rsid w:val="00C23FFA"/>
    <w:rsid w:val="00C30635"/>
    <w:rsid w:val="00C4055A"/>
    <w:rsid w:val="00C46AE2"/>
    <w:rsid w:val="00C57F1F"/>
    <w:rsid w:val="00C61843"/>
    <w:rsid w:val="00C62473"/>
    <w:rsid w:val="00C64514"/>
    <w:rsid w:val="00C93A5E"/>
    <w:rsid w:val="00C97A77"/>
    <w:rsid w:val="00CA06B8"/>
    <w:rsid w:val="00CD42D0"/>
    <w:rsid w:val="00CF1AE9"/>
    <w:rsid w:val="00CF2A6A"/>
    <w:rsid w:val="00D05058"/>
    <w:rsid w:val="00D06B5C"/>
    <w:rsid w:val="00D1595E"/>
    <w:rsid w:val="00D36224"/>
    <w:rsid w:val="00D424F8"/>
    <w:rsid w:val="00D5108E"/>
    <w:rsid w:val="00D84B81"/>
    <w:rsid w:val="00D8722E"/>
    <w:rsid w:val="00D91F51"/>
    <w:rsid w:val="00D944AF"/>
    <w:rsid w:val="00DC5707"/>
    <w:rsid w:val="00DC76C2"/>
    <w:rsid w:val="00DD0BC0"/>
    <w:rsid w:val="00DE1B4A"/>
    <w:rsid w:val="00DE3D89"/>
    <w:rsid w:val="00E10380"/>
    <w:rsid w:val="00E1648F"/>
    <w:rsid w:val="00E46CC8"/>
    <w:rsid w:val="00E471FF"/>
    <w:rsid w:val="00E50F23"/>
    <w:rsid w:val="00E629B1"/>
    <w:rsid w:val="00E655F2"/>
    <w:rsid w:val="00E75716"/>
    <w:rsid w:val="00E866B6"/>
    <w:rsid w:val="00E9442A"/>
    <w:rsid w:val="00EA2F9D"/>
    <w:rsid w:val="00EF04CB"/>
    <w:rsid w:val="00F021F4"/>
    <w:rsid w:val="00F1164E"/>
    <w:rsid w:val="00F1232C"/>
    <w:rsid w:val="00F1565E"/>
    <w:rsid w:val="00F3789C"/>
    <w:rsid w:val="00F52B6B"/>
    <w:rsid w:val="00F56F78"/>
    <w:rsid w:val="00F64167"/>
    <w:rsid w:val="00F726DB"/>
    <w:rsid w:val="00F7421E"/>
    <w:rsid w:val="00F96559"/>
    <w:rsid w:val="00FC0CC1"/>
    <w:rsid w:val="00FD51C6"/>
    <w:rsid w:val="00FE1877"/>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16</cp:revision>
  <dcterms:created xsi:type="dcterms:W3CDTF">2021-11-26T15:07:00Z</dcterms:created>
  <dcterms:modified xsi:type="dcterms:W3CDTF">2022-06-29T15:23:00Z</dcterms:modified>
</cp:coreProperties>
</file>