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6072D" w14:textId="37A255C7" w:rsidR="002F0333" w:rsidRDefault="00F656D3">
      <w:pPr>
        <w:spacing w:after="0"/>
        <w:ind w:left="10" w:right="-4631" w:hanging="10"/>
        <w:rPr>
          <w:b/>
          <w:lang w:val="en-US"/>
        </w:rPr>
      </w:pPr>
      <w:r>
        <w:rPr>
          <w:b/>
          <w:lang w:val="en-US"/>
        </w:rPr>
        <w:t xml:space="preserve">                  </w:t>
      </w:r>
      <w:r w:rsidR="001A7844">
        <w:rPr>
          <w:b/>
          <w:lang w:val="en-US"/>
        </w:rPr>
        <w:t xml:space="preserve">   </w:t>
      </w:r>
    </w:p>
    <w:p w14:paraId="5F6C6113" w14:textId="77777777" w:rsidR="002F0333" w:rsidRDefault="002F0333">
      <w:pPr>
        <w:spacing w:after="0"/>
        <w:ind w:left="10" w:right="-4631" w:hanging="10"/>
        <w:rPr>
          <w:b/>
          <w:lang w:val="en-US"/>
        </w:rPr>
      </w:pPr>
    </w:p>
    <w:p w14:paraId="168A74D5" w14:textId="77777777" w:rsidR="002F0333" w:rsidRDefault="002F0333">
      <w:pPr>
        <w:spacing w:after="0"/>
        <w:ind w:left="10" w:right="-4631" w:hanging="10"/>
        <w:rPr>
          <w:b/>
          <w:lang w:val="en-US"/>
        </w:rPr>
      </w:pPr>
    </w:p>
    <w:p w14:paraId="4D54D347" w14:textId="08AE3DAB" w:rsidR="00826080" w:rsidRPr="00506C44" w:rsidRDefault="00826080" w:rsidP="00154E94">
      <w:pPr>
        <w:spacing w:after="0"/>
        <w:ind w:right="-4631"/>
        <w:rPr>
          <w:lang w:val="en-US"/>
        </w:rPr>
      </w:pPr>
    </w:p>
    <w:p w14:paraId="4A3A326B" w14:textId="77777777" w:rsidR="00826080" w:rsidRPr="00506C44" w:rsidRDefault="00EA2F9D">
      <w:pPr>
        <w:spacing w:after="0"/>
        <w:ind w:left="4062"/>
        <w:rPr>
          <w:lang w:val="en-US"/>
        </w:rPr>
      </w:pPr>
      <w:r w:rsidRPr="00506C44">
        <w:rPr>
          <w:b/>
          <w:lang w:val="en-US"/>
        </w:rPr>
        <w:t xml:space="preserve"> </w:t>
      </w:r>
    </w:p>
    <w:p w14:paraId="35AD14BA" w14:textId="77777777" w:rsidR="00826080" w:rsidRPr="00506C44" w:rsidRDefault="00EA2F9D">
      <w:pPr>
        <w:spacing w:after="0"/>
        <w:ind w:left="51"/>
        <w:jc w:val="center"/>
        <w:rPr>
          <w:lang w:val="en-US"/>
        </w:rPr>
      </w:pPr>
      <w:r w:rsidRPr="00506C44">
        <w:rPr>
          <w:b/>
          <w:lang w:val="en-US"/>
        </w:rPr>
        <w:t xml:space="preserve"> </w:t>
      </w:r>
    </w:p>
    <w:p w14:paraId="4C0105F3" w14:textId="78C8A32C" w:rsidR="00826080" w:rsidRPr="00506C44" w:rsidRDefault="00EA2F9D">
      <w:pPr>
        <w:spacing w:after="202"/>
        <w:ind w:right="4"/>
        <w:jc w:val="center"/>
        <w:rPr>
          <w:lang w:val="en-US"/>
        </w:rPr>
      </w:pPr>
      <w:r w:rsidRPr="00506C44">
        <w:rPr>
          <w:b/>
          <w:sz w:val="24"/>
          <w:lang w:val="en-US"/>
        </w:rPr>
        <w:t xml:space="preserve">QUALITY ASSESSMENT BY EU PARTNERS (PARTNER </w:t>
      </w:r>
      <w:r w:rsidR="00342339">
        <w:rPr>
          <w:b/>
          <w:sz w:val="24"/>
          <w:lang w:val="en-US"/>
        </w:rPr>
        <w:t>ESTONIAN UNIVERSITY OF LIFE SCIENCES</w:t>
      </w:r>
      <w:r w:rsidRPr="00506C44">
        <w:rPr>
          <w:b/>
          <w:sz w:val="24"/>
          <w:lang w:val="en-US"/>
        </w:rPr>
        <w:t xml:space="preserve">) </w:t>
      </w:r>
    </w:p>
    <w:p w14:paraId="51D5A25C" w14:textId="0CB55443" w:rsidR="00154E94" w:rsidRDefault="00AC4911">
      <w:pPr>
        <w:pStyle w:val="Heading1"/>
        <w:rPr>
          <w:lang w:val="en-US"/>
        </w:rPr>
      </w:pPr>
      <w:r>
        <w:rPr>
          <w:lang w:val="en-US"/>
        </w:rPr>
        <w:t>Elective</w:t>
      </w:r>
      <w:r w:rsidR="00821BF0">
        <w:rPr>
          <w:lang w:val="en-US"/>
        </w:rPr>
        <w:t xml:space="preserve"> course</w:t>
      </w:r>
      <w:r w:rsidR="00EA2F9D" w:rsidRPr="00506C44">
        <w:rPr>
          <w:lang w:val="en-US"/>
        </w:rPr>
        <w:t>: “</w:t>
      </w:r>
      <w:r w:rsidR="00342339" w:rsidRPr="00342339">
        <w:t>Advances in the natural science</w:t>
      </w:r>
      <w:r w:rsidR="00EA2F9D" w:rsidRPr="00506C44">
        <w:rPr>
          <w:lang w:val="en-US"/>
        </w:rPr>
        <w:t>”</w:t>
      </w:r>
    </w:p>
    <w:p w14:paraId="48B42D66" w14:textId="0FCAD563" w:rsidR="00342339" w:rsidRDefault="00342339">
      <w:pPr>
        <w:pStyle w:val="Heading1"/>
        <w:rPr>
          <w:lang w:val="en-US"/>
        </w:rPr>
      </w:pPr>
      <w:proofErr w:type="spellStart"/>
      <w:r w:rsidRPr="00342339">
        <w:rPr>
          <w:lang w:val="en-US"/>
        </w:rPr>
        <w:t>Khovd</w:t>
      </w:r>
      <w:proofErr w:type="spellEnd"/>
      <w:r w:rsidRPr="00342339">
        <w:rPr>
          <w:lang w:val="en-US"/>
        </w:rPr>
        <w:t xml:space="preserve"> University of Mongoli</w:t>
      </w:r>
      <w:r>
        <w:rPr>
          <w:lang w:val="en-US"/>
        </w:rPr>
        <w:t>a</w:t>
      </w:r>
    </w:p>
    <w:p w14:paraId="776430D9" w14:textId="5099A168" w:rsidR="00826080" w:rsidRPr="00506C44" w:rsidRDefault="00342339">
      <w:pPr>
        <w:pStyle w:val="Heading1"/>
        <w:rPr>
          <w:lang w:val="en-US"/>
        </w:rPr>
      </w:pPr>
      <w:r w:rsidRPr="00342339">
        <w:rPr>
          <w:color w:val="000000"/>
          <w:lang w:val="en-US"/>
        </w:rPr>
        <w:t>MSc and PhD courses</w:t>
      </w:r>
    </w:p>
    <w:p w14:paraId="59B2EDC4" w14:textId="77777777" w:rsidR="00826080" w:rsidRPr="00506C44" w:rsidRDefault="00EA2F9D">
      <w:pPr>
        <w:spacing w:after="0"/>
        <w:rPr>
          <w:lang w:val="en-US"/>
        </w:rPr>
      </w:pPr>
      <w:r w:rsidRPr="00506C44">
        <w:rPr>
          <w:lang w:val="en-US"/>
        </w:rPr>
        <w:t xml:space="preserve"> </w:t>
      </w:r>
    </w:p>
    <w:tbl>
      <w:tblPr>
        <w:tblW w:w="9627" w:type="dxa"/>
        <w:tblInd w:w="7" w:type="dxa"/>
        <w:tblCellMar>
          <w:left w:w="10" w:type="dxa"/>
          <w:right w:w="10" w:type="dxa"/>
        </w:tblCellMar>
        <w:tblLook w:val="04A0" w:firstRow="1" w:lastRow="0" w:firstColumn="1" w:lastColumn="0" w:noHBand="0" w:noVBand="1"/>
      </w:tblPr>
      <w:tblGrid>
        <w:gridCol w:w="9627"/>
      </w:tblGrid>
      <w:tr w:rsidR="00826080" w14:paraId="184D364A" w14:textId="77777777">
        <w:trPr>
          <w:trHeight w:val="278"/>
        </w:trPr>
        <w:tc>
          <w:tcPr>
            <w:tcW w:w="9627" w:type="dxa"/>
            <w:tcBorders>
              <w:top w:val="single" w:sz="4" w:space="0" w:color="000000"/>
              <w:left w:val="single" w:sz="4" w:space="0" w:color="000000"/>
              <w:bottom w:val="single" w:sz="4" w:space="0" w:color="000000"/>
              <w:right w:val="single" w:sz="4" w:space="0" w:color="000000"/>
            </w:tcBorders>
            <w:shd w:val="clear" w:color="auto" w:fill="1F3864"/>
            <w:tcMar>
              <w:top w:w="44" w:type="dxa"/>
              <w:left w:w="55" w:type="dxa"/>
              <w:bottom w:w="0" w:type="dxa"/>
              <w:right w:w="59" w:type="dxa"/>
            </w:tcMar>
          </w:tcPr>
          <w:p w14:paraId="405858A3" w14:textId="77777777" w:rsidR="00826080" w:rsidRDefault="00EA2F9D">
            <w:pPr>
              <w:spacing w:after="0"/>
              <w:ind w:left="53"/>
            </w:pPr>
            <w:r>
              <w:rPr>
                <w:b/>
                <w:color w:val="FFFFFF"/>
              </w:rPr>
              <w:t xml:space="preserve">QUALITY ASSESSMENT </w:t>
            </w:r>
          </w:p>
        </w:tc>
      </w:tr>
      <w:tr w:rsidR="00826080" w:rsidRPr="00BB427A" w14:paraId="5D4BFFA8" w14:textId="77777777">
        <w:trPr>
          <w:trHeight w:val="497"/>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5287CE3" w14:textId="77777777" w:rsidR="00826080" w:rsidRPr="00506C44" w:rsidRDefault="00EA2F9D">
            <w:pPr>
              <w:spacing w:after="0"/>
              <w:ind w:left="53"/>
              <w:jc w:val="both"/>
              <w:rPr>
                <w:lang w:val="en-US"/>
              </w:rPr>
            </w:pPr>
            <w:r w:rsidRPr="00506C44">
              <w:rPr>
                <w:color w:val="002060"/>
                <w:sz w:val="20"/>
                <w:lang w:val="en-US"/>
              </w:rPr>
              <w:t xml:space="preserve">Quality criteria 1: Number of credit units for lectures, practical sessions and self-learning are appropriate to the contents </w:t>
            </w:r>
          </w:p>
        </w:tc>
      </w:tr>
      <w:tr w:rsidR="00826080" w:rsidRPr="00BB427A" w14:paraId="1D4B2DC1" w14:textId="77777777" w:rsidTr="00D36224">
        <w:trPr>
          <w:trHeight w:val="3094"/>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5239410" w14:textId="77777777" w:rsidR="00BB427A" w:rsidRPr="00BB427A" w:rsidRDefault="00BB427A" w:rsidP="00BB427A">
            <w:pPr>
              <w:numPr>
                <w:ilvl w:val="0"/>
                <w:numId w:val="1"/>
              </w:numPr>
              <w:spacing w:after="0"/>
              <w:ind w:hanging="360"/>
              <w:rPr>
                <w:color w:val="auto"/>
              </w:rPr>
            </w:pPr>
            <w:r w:rsidRPr="00BB427A">
              <w:rPr>
                <w:i/>
                <w:color w:val="auto"/>
                <w:sz w:val="20"/>
              </w:rPr>
              <w:t xml:space="preserve">Evaluation </w:t>
            </w:r>
          </w:p>
          <w:p w14:paraId="598C3A82" w14:textId="2C20B49C" w:rsidR="00BB427A" w:rsidRDefault="00406BD7" w:rsidP="00BB427A">
            <w:pPr>
              <w:spacing w:after="0"/>
              <w:jc w:val="both"/>
              <w:rPr>
                <w:color w:val="auto"/>
                <w:sz w:val="20"/>
                <w:lang w:val="en-US"/>
              </w:rPr>
            </w:pPr>
            <w:r>
              <w:rPr>
                <w:color w:val="auto"/>
                <w:sz w:val="20"/>
                <w:lang w:val="en-US"/>
              </w:rPr>
              <w:t>The course assigns 30 hours for each type of activity, namely lectures, moderated in-class discussions, in-class assignments, paper review and discussion, and independent work on basic concepts and definitions. Thus, the number of credits for each activity is balanced and appropriate to the contents.</w:t>
            </w:r>
          </w:p>
          <w:p w14:paraId="368E9EE9" w14:textId="77777777" w:rsidR="0089702F" w:rsidRPr="00BB427A" w:rsidRDefault="0089702F" w:rsidP="00BB427A">
            <w:pPr>
              <w:spacing w:after="0"/>
              <w:jc w:val="both"/>
              <w:rPr>
                <w:color w:val="auto"/>
                <w:sz w:val="20"/>
                <w:lang w:val="en-US"/>
              </w:rPr>
            </w:pPr>
          </w:p>
          <w:p w14:paraId="5E212B4E" w14:textId="6B8F5D86" w:rsidR="00BB427A" w:rsidRPr="00BB427A" w:rsidRDefault="00BB427A" w:rsidP="00BB427A">
            <w:pPr>
              <w:numPr>
                <w:ilvl w:val="0"/>
                <w:numId w:val="1"/>
              </w:numPr>
              <w:spacing w:after="0"/>
              <w:ind w:hanging="360"/>
              <w:rPr>
                <w:color w:val="auto"/>
              </w:rPr>
            </w:pPr>
            <w:r w:rsidRPr="00BB427A">
              <w:rPr>
                <w:i/>
                <w:color w:val="auto"/>
                <w:sz w:val="20"/>
              </w:rPr>
              <w:t xml:space="preserve">Strategies for improvement </w:t>
            </w:r>
          </w:p>
          <w:p w14:paraId="15A1C3AE" w14:textId="207247B6" w:rsidR="00C700DA" w:rsidRPr="00406BD7" w:rsidRDefault="00406BD7" w:rsidP="00406BD7">
            <w:pPr>
              <w:spacing w:after="0"/>
              <w:jc w:val="both"/>
              <w:rPr>
                <w:color w:val="auto"/>
                <w:sz w:val="20"/>
                <w:lang w:val="en-US"/>
              </w:rPr>
            </w:pPr>
            <w:r w:rsidRPr="00406BD7">
              <w:rPr>
                <w:color w:val="auto"/>
                <w:sz w:val="20"/>
                <w:lang w:val="en-US"/>
              </w:rPr>
              <w:t>No strategies for improvement required.</w:t>
            </w:r>
          </w:p>
          <w:p w14:paraId="23EEDAC3" w14:textId="18732D69" w:rsidR="0089702F" w:rsidRPr="00C700DA" w:rsidRDefault="0089702F" w:rsidP="0089702F">
            <w:pPr>
              <w:spacing w:after="0"/>
              <w:rPr>
                <w:lang w:val="en-US"/>
              </w:rPr>
            </w:pPr>
          </w:p>
        </w:tc>
      </w:tr>
      <w:tr w:rsidR="00826080" w:rsidRPr="00BB427A" w14:paraId="3B495CF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68270074" w14:textId="77777777" w:rsidR="00826080" w:rsidRPr="00506C44" w:rsidRDefault="00EA2F9D">
            <w:pPr>
              <w:spacing w:after="0"/>
              <w:ind w:left="53"/>
              <w:rPr>
                <w:lang w:val="en-US"/>
              </w:rPr>
            </w:pPr>
            <w:r w:rsidRPr="00506C44">
              <w:rPr>
                <w:color w:val="002060"/>
                <w:sz w:val="20"/>
                <w:lang w:val="en-US"/>
              </w:rPr>
              <w:t xml:space="preserve">Quality criteria 2: Total number of credit units in the course is correct and appropriate </w:t>
            </w:r>
          </w:p>
        </w:tc>
      </w:tr>
      <w:tr w:rsidR="00826080" w:rsidRPr="00747FFC" w14:paraId="2FC717B8" w14:textId="77777777">
        <w:trPr>
          <w:trHeight w:val="178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0037D5C5" w14:textId="77777777" w:rsidR="0089702F" w:rsidRPr="00BB427A" w:rsidRDefault="0089702F" w:rsidP="0089702F">
            <w:pPr>
              <w:numPr>
                <w:ilvl w:val="0"/>
                <w:numId w:val="1"/>
              </w:numPr>
              <w:spacing w:after="0"/>
              <w:ind w:hanging="360"/>
              <w:rPr>
                <w:color w:val="auto"/>
              </w:rPr>
            </w:pPr>
            <w:r w:rsidRPr="00BB427A">
              <w:rPr>
                <w:i/>
                <w:color w:val="auto"/>
                <w:sz w:val="20"/>
              </w:rPr>
              <w:t xml:space="preserve">Evaluation </w:t>
            </w:r>
          </w:p>
          <w:p w14:paraId="7910868F" w14:textId="78A2002E" w:rsidR="0089702F" w:rsidRDefault="006F147D" w:rsidP="0089702F">
            <w:pPr>
              <w:spacing w:after="0"/>
              <w:jc w:val="both"/>
              <w:rPr>
                <w:color w:val="auto"/>
                <w:sz w:val="20"/>
                <w:lang w:val="en-US"/>
              </w:rPr>
            </w:pPr>
            <w:r w:rsidRPr="006F147D">
              <w:rPr>
                <w:color w:val="auto"/>
                <w:sz w:val="20"/>
                <w:lang w:val="en-US"/>
              </w:rPr>
              <w:t>The total number of credits uni</w:t>
            </w:r>
            <w:r>
              <w:rPr>
                <w:color w:val="auto"/>
                <w:sz w:val="20"/>
                <w:lang w:val="en-US"/>
              </w:rPr>
              <w:t>ts assigned for this course is 3 ECTS. However, a workload of 150 hours would be more appropriate for a 5-ECTS course</w:t>
            </w:r>
            <w:r w:rsidRPr="006F147D">
              <w:rPr>
                <w:color w:val="auto"/>
                <w:sz w:val="20"/>
                <w:lang w:val="en-US"/>
              </w:rPr>
              <w:t>.</w:t>
            </w:r>
          </w:p>
          <w:p w14:paraId="0A070B4C" w14:textId="77777777" w:rsidR="0089702F" w:rsidRPr="00BB427A" w:rsidRDefault="0089702F" w:rsidP="0089702F">
            <w:pPr>
              <w:spacing w:after="0"/>
              <w:jc w:val="both"/>
              <w:rPr>
                <w:color w:val="auto"/>
                <w:sz w:val="20"/>
                <w:lang w:val="en-US"/>
              </w:rPr>
            </w:pPr>
          </w:p>
          <w:p w14:paraId="4B492153" w14:textId="77777777" w:rsidR="0089702F" w:rsidRPr="00BB427A" w:rsidRDefault="0089702F" w:rsidP="0089702F">
            <w:pPr>
              <w:numPr>
                <w:ilvl w:val="0"/>
                <w:numId w:val="1"/>
              </w:numPr>
              <w:spacing w:after="0"/>
              <w:ind w:hanging="360"/>
              <w:rPr>
                <w:color w:val="auto"/>
              </w:rPr>
            </w:pPr>
            <w:r w:rsidRPr="00BB427A">
              <w:rPr>
                <w:i/>
                <w:color w:val="auto"/>
                <w:sz w:val="20"/>
              </w:rPr>
              <w:t xml:space="preserve">Strategies for improvement </w:t>
            </w:r>
          </w:p>
          <w:p w14:paraId="4F904844" w14:textId="637F025D" w:rsidR="0089702F" w:rsidRDefault="006F147D" w:rsidP="00DB7A22">
            <w:pPr>
              <w:spacing w:after="0"/>
              <w:jc w:val="both"/>
              <w:rPr>
                <w:color w:val="auto"/>
                <w:sz w:val="20"/>
                <w:lang w:val="en-US"/>
              </w:rPr>
            </w:pPr>
            <w:r w:rsidRPr="00DB7A22">
              <w:rPr>
                <w:color w:val="auto"/>
                <w:sz w:val="20"/>
                <w:lang w:val="en-US"/>
              </w:rPr>
              <w:t xml:space="preserve">One option </w:t>
            </w:r>
            <w:r w:rsidR="00DB7A22" w:rsidRPr="00DB7A22">
              <w:rPr>
                <w:color w:val="auto"/>
                <w:sz w:val="20"/>
                <w:lang w:val="en-US"/>
              </w:rPr>
              <w:t>would be</w:t>
            </w:r>
            <w:r w:rsidRPr="00DB7A22">
              <w:rPr>
                <w:color w:val="auto"/>
                <w:sz w:val="20"/>
                <w:lang w:val="en-US"/>
              </w:rPr>
              <w:t xml:space="preserve"> assigning a larger amou</w:t>
            </w:r>
            <w:r w:rsidR="00DB7A22" w:rsidRPr="00DB7A22">
              <w:rPr>
                <w:color w:val="auto"/>
                <w:sz w:val="20"/>
                <w:lang w:val="en-US"/>
              </w:rPr>
              <w:t>nt of credits for this course. Ano</w:t>
            </w:r>
            <w:r w:rsidRPr="00DB7A22">
              <w:rPr>
                <w:color w:val="auto"/>
                <w:sz w:val="20"/>
                <w:lang w:val="en-US"/>
              </w:rPr>
              <w:t xml:space="preserve">ther option </w:t>
            </w:r>
            <w:r w:rsidR="00DB7A22" w:rsidRPr="00DB7A22">
              <w:rPr>
                <w:color w:val="auto"/>
                <w:sz w:val="20"/>
                <w:lang w:val="en-US"/>
              </w:rPr>
              <w:t>would be</w:t>
            </w:r>
            <w:r w:rsidRPr="00DB7A22">
              <w:rPr>
                <w:color w:val="auto"/>
                <w:sz w:val="20"/>
                <w:lang w:val="en-US"/>
              </w:rPr>
              <w:t xml:space="preserve"> to reduce the workload by merging some in-class activities, which constitute most of it. </w:t>
            </w:r>
            <w:r w:rsidR="00DB7A22">
              <w:rPr>
                <w:color w:val="auto"/>
                <w:sz w:val="20"/>
                <w:lang w:val="en-US"/>
              </w:rPr>
              <w:t xml:space="preserve">Taking into account the importance of students’ </w:t>
            </w:r>
            <w:proofErr w:type="spellStart"/>
            <w:r w:rsidR="00DB7A22">
              <w:rPr>
                <w:color w:val="auto"/>
                <w:sz w:val="20"/>
                <w:lang w:val="en-US"/>
              </w:rPr>
              <w:t>engament</w:t>
            </w:r>
            <w:proofErr w:type="spellEnd"/>
            <w:r w:rsidR="00DB7A22">
              <w:rPr>
                <w:color w:val="auto"/>
                <w:sz w:val="20"/>
                <w:lang w:val="en-US"/>
              </w:rPr>
              <w:t xml:space="preserve"> and participation on learning outcomes, it </w:t>
            </w:r>
            <w:proofErr w:type="gramStart"/>
            <w:r w:rsidR="00DB7A22">
              <w:rPr>
                <w:color w:val="auto"/>
                <w:sz w:val="20"/>
                <w:lang w:val="en-US"/>
              </w:rPr>
              <w:t>would be recommended</w:t>
            </w:r>
            <w:proofErr w:type="gramEnd"/>
            <w:r w:rsidR="00DB7A22">
              <w:rPr>
                <w:color w:val="auto"/>
                <w:sz w:val="20"/>
                <w:lang w:val="en-US"/>
              </w:rPr>
              <w:t xml:space="preserve"> to maintain activities that </w:t>
            </w:r>
            <w:proofErr w:type="spellStart"/>
            <w:r w:rsidR="00DB7A22">
              <w:rPr>
                <w:color w:val="auto"/>
                <w:sz w:val="20"/>
                <w:lang w:val="en-US"/>
              </w:rPr>
              <w:t>envolve</w:t>
            </w:r>
            <w:proofErr w:type="spellEnd"/>
            <w:r w:rsidR="00DB7A22">
              <w:rPr>
                <w:color w:val="auto"/>
                <w:sz w:val="20"/>
                <w:lang w:val="en-US"/>
              </w:rPr>
              <w:t xml:space="preserve"> individual and group learning.</w:t>
            </w:r>
            <w:r w:rsidR="00596781">
              <w:rPr>
                <w:color w:val="auto"/>
                <w:sz w:val="20"/>
                <w:lang w:val="en-US"/>
              </w:rPr>
              <w:t xml:space="preserve"> T</w:t>
            </w:r>
            <w:r w:rsidR="00B32AF3">
              <w:rPr>
                <w:color w:val="auto"/>
                <w:sz w:val="20"/>
                <w:lang w:val="en-US"/>
              </w:rPr>
              <w:t>o assist in this regard</w:t>
            </w:r>
            <w:r w:rsidR="00596781">
              <w:rPr>
                <w:color w:val="auto"/>
                <w:sz w:val="20"/>
                <w:lang w:val="en-US"/>
              </w:rPr>
              <w:t>, the following material</w:t>
            </w:r>
            <w:r w:rsidR="00B32AF3">
              <w:rPr>
                <w:color w:val="auto"/>
                <w:sz w:val="20"/>
                <w:lang w:val="en-US"/>
              </w:rPr>
              <w:t>s</w:t>
            </w:r>
            <w:r w:rsidR="00596781">
              <w:rPr>
                <w:color w:val="auto"/>
                <w:sz w:val="20"/>
                <w:lang w:val="en-US"/>
              </w:rPr>
              <w:t xml:space="preserve"> provide some guidelines for credit assignment for academic courses: </w:t>
            </w:r>
          </w:p>
          <w:p w14:paraId="234D286D" w14:textId="7ED9BABB" w:rsidR="00596781" w:rsidRDefault="00596781" w:rsidP="00596781">
            <w:pPr>
              <w:pStyle w:val="ListParagraph"/>
              <w:numPr>
                <w:ilvl w:val="0"/>
                <w:numId w:val="7"/>
              </w:numPr>
              <w:spacing w:after="0"/>
              <w:jc w:val="both"/>
              <w:rPr>
                <w:color w:val="auto"/>
                <w:sz w:val="20"/>
                <w:lang w:val="en-US"/>
              </w:rPr>
            </w:pPr>
            <w:hyperlink r:id="rId7" w:history="1">
              <w:r w:rsidRPr="00AA66DC">
                <w:rPr>
                  <w:rStyle w:val="Hyperlink"/>
                  <w:sz w:val="20"/>
                  <w:lang w:val="en-US"/>
                </w:rPr>
                <w:t>https://provost.illinois.edu/policies/policies/courses/credit-hour-definition/assigning-credit-hours/</w:t>
              </w:r>
            </w:hyperlink>
          </w:p>
          <w:p w14:paraId="4810D0FC" w14:textId="2A51D7D2" w:rsidR="00596781" w:rsidRDefault="00596781" w:rsidP="00596781">
            <w:pPr>
              <w:pStyle w:val="ListParagraph"/>
              <w:numPr>
                <w:ilvl w:val="0"/>
                <w:numId w:val="7"/>
              </w:numPr>
              <w:spacing w:after="0"/>
              <w:jc w:val="both"/>
              <w:rPr>
                <w:color w:val="auto"/>
                <w:sz w:val="20"/>
                <w:lang w:val="en-US"/>
              </w:rPr>
            </w:pPr>
            <w:hyperlink r:id="rId8" w:history="1">
              <w:r w:rsidRPr="00AA66DC">
                <w:rPr>
                  <w:rStyle w:val="Hyperlink"/>
                  <w:sz w:val="20"/>
                  <w:lang w:val="en-US"/>
                </w:rPr>
                <w:t>https://www.bu.edu/policies/credit-assignment-to-academic-courses/</w:t>
              </w:r>
            </w:hyperlink>
          </w:p>
          <w:p w14:paraId="4E77550D" w14:textId="45931957" w:rsidR="00596781" w:rsidRDefault="00596781" w:rsidP="00596781">
            <w:pPr>
              <w:pStyle w:val="ListParagraph"/>
              <w:numPr>
                <w:ilvl w:val="0"/>
                <w:numId w:val="7"/>
              </w:numPr>
              <w:spacing w:after="0"/>
              <w:jc w:val="both"/>
              <w:rPr>
                <w:color w:val="auto"/>
                <w:sz w:val="20"/>
                <w:lang w:val="en-US"/>
              </w:rPr>
            </w:pPr>
            <w:hyperlink r:id="rId9" w:history="1">
              <w:r w:rsidRPr="00AA66DC">
                <w:rPr>
                  <w:rStyle w:val="Hyperlink"/>
                  <w:sz w:val="20"/>
                  <w:lang w:val="en-US"/>
                </w:rPr>
                <w:t>https://www.eur.nl/sites/corporate/files/15_Studielastberekening_juli_2007_ENd.pdf</w:t>
              </w:r>
            </w:hyperlink>
          </w:p>
          <w:p w14:paraId="7791CF35" w14:textId="62A28AE5" w:rsidR="00FC0CC1" w:rsidRPr="00225F33" w:rsidRDefault="00FC0CC1" w:rsidP="00C700DA">
            <w:pPr>
              <w:spacing w:after="22"/>
              <w:rPr>
                <w:lang w:val="en-US"/>
              </w:rPr>
            </w:pPr>
          </w:p>
        </w:tc>
      </w:tr>
      <w:tr w:rsidR="00826080" w:rsidRPr="00BB427A" w14:paraId="20A61C33" w14:textId="77777777">
        <w:trPr>
          <w:trHeight w:val="251"/>
        </w:trPr>
        <w:tc>
          <w:tcPr>
            <w:tcW w:w="9627" w:type="dxa"/>
            <w:tcBorders>
              <w:top w:val="single" w:sz="4" w:space="0" w:color="000000"/>
              <w:left w:val="single" w:sz="4" w:space="0" w:color="000000"/>
              <w:bottom w:val="single" w:sz="4" w:space="0" w:color="000000"/>
              <w:right w:val="single" w:sz="4" w:space="0" w:color="000000"/>
            </w:tcBorders>
            <w:shd w:val="clear" w:color="auto" w:fill="DEEAF6"/>
            <w:tcMar>
              <w:top w:w="44" w:type="dxa"/>
              <w:left w:w="55" w:type="dxa"/>
              <w:bottom w:w="0" w:type="dxa"/>
              <w:right w:w="59" w:type="dxa"/>
            </w:tcMar>
          </w:tcPr>
          <w:p w14:paraId="03E5C43D" w14:textId="77777777" w:rsidR="00826080" w:rsidRPr="00506C44" w:rsidRDefault="00EA2F9D">
            <w:pPr>
              <w:spacing w:after="0"/>
              <w:ind w:left="53"/>
              <w:rPr>
                <w:lang w:val="en-US"/>
              </w:rPr>
            </w:pPr>
            <w:r w:rsidRPr="00506C44">
              <w:rPr>
                <w:color w:val="002060"/>
                <w:sz w:val="20"/>
                <w:lang w:val="en-US"/>
              </w:rPr>
              <w:t xml:space="preserve">Quality criteria 3: Positioning of the courses in Curricula is appropriate based on the progressive level of difficulty </w:t>
            </w:r>
          </w:p>
        </w:tc>
      </w:tr>
      <w:tr w:rsidR="00F1565E" w:rsidRPr="00116B50" w14:paraId="53B2313B" w14:textId="77777777">
        <w:trPr>
          <w:trHeight w:val="2251"/>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12B4D873" w14:textId="77777777" w:rsidR="0089702F" w:rsidRPr="00BB427A" w:rsidRDefault="0089702F" w:rsidP="0089702F">
            <w:pPr>
              <w:numPr>
                <w:ilvl w:val="0"/>
                <w:numId w:val="1"/>
              </w:numPr>
              <w:spacing w:after="0"/>
              <w:ind w:hanging="360"/>
              <w:rPr>
                <w:color w:val="auto"/>
              </w:rPr>
            </w:pPr>
            <w:r w:rsidRPr="00BB427A">
              <w:rPr>
                <w:i/>
                <w:color w:val="auto"/>
                <w:sz w:val="20"/>
              </w:rPr>
              <w:t xml:space="preserve">Evaluation </w:t>
            </w:r>
          </w:p>
          <w:p w14:paraId="3EE06229" w14:textId="53D1DB63" w:rsidR="0089702F" w:rsidRDefault="00406BD7" w:rsidP="0089702F">
            <w:pPr>
              <w:spacing w:after="0"/>
              <w:jc w:val="both"/>
              <w:rPr>
                <w:color w:val="auto"/>
                <w:sz w:val="20"/>
                <w:lang w:val="en-US"/>
              </w:rPr>
            </w:pPr>
            <w:r>
              <w:rPr>
                <w:color w:val="auto"/>
                <w:sz w:val="20"/>
                <w:lang w:val="en-US"/>
              </w:rPr>
              <w:t xml:space="preserve">The syllabus does not explicitly mention the positioning of the course in curricula, but </w:t>
            </w:r>
            <w:r w:rsidR="00AB5E80">
              <w:rPr>
                <w:color w:val="auto"/>
                <w:sz w:val="20"/>
                <w:lang w:val="en-US"/>
              </w:rPr>
              <w:t xml:space="preserve">it </w:t>
            </w:r>
            <w:r>
              <w:rPr>
                <w:color w:val="auto"/>
                <w:sz w:val="20"/>
                <w:lang w:val="en-US"/>
              </w:rPr>
              <w:t>assigns prerequisites for registration, which reflects a progression on the level of difficulty. In this way, it seems to be appropriate.</w:t>
            </w:r>
          </w:p>
          <w:p w14:paraId="41228314" w14:textId="77777777" w:rsidR="0089702F" w:rsidRPr="00BB427A" w:rsidRDefault="0089702F" w:rsidP="0089702F">
            <w:pPr>
              <w:spacing w:after="0"/>
              <w:jc w:val="both"/>
              <w:rPr>
                <w:color w:val="auto"/>
                <w:sz w:val="20"/>
                <w:lang w:val="en-US"/>
              </w:rPr>
            </w:pPr>
          </w:p>
          <w:p w14:paraId="640B7B58" w14:textId="77777777" w:rsidR="0089702F" w:rsidRPr="00BB427A" w:rsidRDefault="0089702F" w:rsidP="0089702F">
            <w:pPr>
              <w:numPr>
                <w:ilvl w:val="0"/>
                <w:numId w:val="1"/>
              </w:numPr>
              <w:spacing w:after="0"/>
              <w:ind w:hanging="360"/>
              <w:rPr>
                <w:color w:val="auto"/>
              </w:rPr>
            </w:pPr>
            <w:r w:rsidRPr="00BB427A">
              <w:rPr>
                <w:i/>
                <w:color w:val="auto"/>
                <w:sz w:val="20"/>
              </w:rPr>
              <w:t xml:space="preserve">Strategies for improvement </w:t>
            </w:r>
          </w:p>
          <w:p w14:paraId="5D4C5052" w14:textId="3644DD86" w:rsidR="00826080" w:rsidRPr="00AB5E80" w:rsidRDefault="00AB5E80" w:rsidP="00AB5E80">
            <w:pPr>
              <w:spacing w:after="0"/>
              <w:jc w:val="both"/>
              <w:rPr>
                <w:color w:val="auto"/>
                <w:sz w:val="20"/>
                <w:lang w:val="en-US"/>
              </w:rPr>
            </w:pPr>
            <w:r w:rsidRPr="00AB5E80">
              <w:rPr>
                <w:color w:val="auto"/>
                <w:sz w:val="20"/>
                <w:lang w:val="en-US"/>
              </w:rPr>
              <w:t>Explicitly stating the expected position of the course in the curricula.</w:t>
            </w:r>
            <w:r w:rsidR="00D820AE">
              <w:rPr>
                <w:color w:val="auto"/>
                <w:sz w:val="20"/>
                <w:lang w:val="en-US"/>
              </w:rPr>
              <w:t xml:space="preserve"> Perhaps using a curricula map may assist in this concern, for example: </w:t>
            </w:r>
            <w:hyperlink r:id="rId10" w:history="1">
              <w:r w:rsidR="00D820AE" w:rsidRPr="00AA66DC">
                <w:rPr>
                  <w:rStyle w:val="Hyperlink"/>
                  <w:sz w:val="20"/>
                  <w:lang w:val="en-US"/>
                </w:rPr>
                <w:t>https://www.unco.edu/center-enhancement-teaching-learning/pdf/assessment/program-curriculum-mapping-quick-guide.pdf</w:t>
              </w:r>
            </w:hyperlink>
            <w:r w:rsidR="00D820AE">
              <w:rPr>
                <w:color w:val="auto"/>
                <w:sz w:val="20"/>
                <w:lang w:val="en-US"/>
              </w:rPr>
              <w:t xml:space="preserve"> </w:t>
            </w:r>
          </w:p>
        </w:tc>
      </w:tr>
      <w:tr w:rsidR="00F1565E" w:rsidRPr="00BB427A" w14:paraId="524A39E7" w14:textId="77777777" w:rsidTr="00A05ACD">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55BD17E3" w14:textId="6672B89F" w:rsidR="00A05ACD" w:rsidRPr="00555B50" w:rsidRDefault="00A05ACD" w:rsidP="00A05ACD">
            <w:pPr>
              <w:spacing w:after="0"/>
              <w:ind w:left="53"/>
              <w:rPr>
                <w:i/>
                <w:color w:val="auto"/>
                <w:sz w:val="20"/>
                <w:lang w:val="en-US"/>
              </w:rPr>
            </w:pPr>
            <w:r w:rsidRPr="00555B50">
              <w:rPr>
                <w:color w:val="auto"/>
                <w:sz w:val="20"/>
                <w:lang w:val="en-US"/>
              </w:rPr>
              <w:lastRenderedPageBreak/>
              <w:t>Quality criteria 4: Tests are suitable and appropriate to support transferable skills</w:t>
            </w:r>
          </w:p>
        </w:tc>
      </w:tr>
      <w:tr w:rsidR="00F1565E" w:rsidRPr="00BB427A" w14:paraId="77CF703D" w14:textId="77777777" w:rsidTr="007A4578">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52F3828B" w14:textId="77777777" w:rsidR="0089702F" w:rsidRPr="00BB427A" w:rsidRDefault="0089702F" w:rsidP="0089702F">
            <w:pPr>
              <w:numPr>
                <w:ilvl w:val="0"/>
                <w:numId w:val="1"/>
              </w:numPr>
              <w:spacing w:after="0"/>
              <w:ind w:hanging="360"/>
              <w:rPr>
                <w:color w:val="auto"/>
              </w:rPr>
            </w:pPr>
            <w:r w:rsidRPr="00BB427A">
              <w:rPr>
                <w:i/>
                <w:color w:val="auto"/>
                <w:sz w:val="20"/>
              </w:rPr>
              <w:t xml:space="preserve">Evaluation </w:t>
            </w:r>
          </w:p>
          <w:p w14:paraId="62E3E317" w14:textId="7B022F02" w:rsidR="0089702F" w:rsidRDefault="00AB5E80" w:rsidP="0089702F">
            <w:pPr>
              <w:spacing w:after="0"/>
              <w:jc w:val="both"/>
              <w:rPr>
                <w:color w:val="auto"/>
                <w:sz w:val="20"/>
                <w:lang w:val="en-US"/>
              </w:rPr>
            </w:pPr>
            <w:r>
              <w:rPr>
                <w:color w:val="auto"/>
                <w:sz w:val="20"/>
                <w:lang w:val="en-US"/>
              </w:rPr>
              <w:t xml:space="preserve">The assignments for evaluating the transfer of skills seems to be adequate for the course’s objectives. However, the methodology for measuring students’ performance is not clear. For example, summing the contribution of each </w:t>
            </w:r>
            <w:proofErr w:type="spellStart"/>
            <w:r>
              <w:rPr>
                <w:color w:val="auto"/>
                <w:sz w:val="20"/>
                <w:lang w:val="en-US"/>
              </w:rPr>
              <w:t>assignement</w:t>
            </w:r>
            <w:proofErr w:type="spellEnd"/>
            <w:r>
              <w:rPr>
                <w:color w:val="auto"/>
                <w:sz w:val="20"/>
                <w:lang w:val="en-US"/>
              </w:rPr>
              <w:t xml:space="preserve">, </w:t>
            </w:r>
            <w:proofErr w:type="gramStart"/>
            <w:r>
              <w:rPr>
                <w:color w:val="auto"/>
                <w:sz w:val="20"/>
                <w:lang w:val="en-US"/>
              </w:rPr>
              <w:t>students</w:t>
            </w:r>
            <w:proofErr w:type="gramEnd"/>
            <w:r>
              <w:rPr>
                <w:color w:val="auto"/>
                <w:sz w:val="20"/>
                <w:lang w:val="en-US"/>
              </w:rPr>
              <w:t xml:space="preserve"> grade could reach 120%, according to the syllabus.</w:t>
            </w:r>
          </w:p>
          <w:p w14:paraId="5B8BC5F7" w14:textId="77777777" w:rsidR="0089702F" w:rsidRPr="00BB427A" w:rsidRDefault="0089702F" w:rsidP="0089702F">
            <w:pPr>
              <w:spacing w:after="0"/>
              <w:jc w:val="both"/>
              <w:rPr>
                <w:color w:val="auto"/>
                <w:sz w:val="20"/>
                <w:lang w:val="en-US"/>
              </w:rPr>
            </w:pPr>
          </w:p>
          <w:p w14:paraId="1C36820E" w14:textId="77777777" w:rsidR="0089702F" w:rsidRPr="00BB427A" w:rsidRDefault="0089702F" w:rsidP="0089702F">
            <w:pPr>
              <w:numPr>
                <w:ilvl w:val="0"/>
                <w:numId w:val="1"/>
              </w:numPr>
              <w:spacing w:after="0"/>
              <w:ind w:hanging="360"/>
              <w:rPr>
                <w:color w:val="auto"/>
              </w:rPr>
            </w:pPr>
            <w:r w:rsidRPr="00BB427A">
              <w:rPr>
                <w:i/>
                <w:color w:val="auto"/>
                <w:sz w:val="20"/>
              </w:rPr>
              <w:t xml:space="preserve">Strategies for improvement </w:t>
            </w:r>
          </w:p>
          <w:p w14:paraId="72280715" w14:textId="6DCD9989" w:rsidR="0089702F" w:rsidRDefault="00AB5E80" w:rsidP="0089702F">
            <w:pPr>
              <w:spacing w:after="0"/>
              <w:rPr>
                <w:lang w:val="en-US"/>
              </w:rPr>
            </w:pPr>
            <w:r w:rsidRPr="00AB5E80">
              <w:rPr>
                <w:color w:val="auto"/>
                <w:sz w:val="20"/>
                <w:lang w:val="en-US"/>
              </w:rPr>
              <w:t>Reassigning weights for each assignment</w:t>
            </w:r>
            <w:r>
              <w:rPr>
                <w:color w:val="auto"/>
                <w:sz w:val="20"/>
                <w:lang w:val="en-US"/>
              </w:rPr>
              <w:t xml:space="preserve"> in a way it reaches 100%</w:t>
            </w:r>
            <w:r>
              <w:rPr>
                <w:lang w:val="en-US"/>
              </w:rPr>
              <w:t>.</w:t>
            </w:r>
          </w:p>
          <w:p w14:paraId="049C35FA" w14:textId="1CFA8CAD" w:rsidR="00621F34" w:rsidRPr="00F1565E" w:rsidRDefault="00621F34" w:rsidP="00A05ACD">
            <w:pPr>
              <w:spacing w:after="43"/>
              <w:ind w:right="45"/>
              <w:jc w:val="both"/>
              <w:rPr>
                <w:color w:val="FF0000"/>
                <w:lang w:val="en-US"/>
              </w:rPr>
            </w:pPr>
          </w:p>
        </w:tc>
      </w:tr>
      <w:tr w:rsidR="00F1565E" w:rsidRPr="00BB427A" w14:paraId="277915DC" w14:textId="77777777" w:rsidTr="006E29B2">
        <w:trPr>
          <w:trHeight w:val="127"/>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602C8863" w14:textId="7ECBD154" w:rsidR="007A4578" w:rsidRPr="00F1565E" w:rsidRDefault="007A4578" w:rsidP="007A4578">
            <w:pPr>
              <w:spacing w:after="0"/>
              <w:rPr>
                <w:color w:val="FF0000"/>
                <w:sz w:val="20"/>
                <w:lang w:val="en-US"/>
              </w:rPr>
            </w:pPr>
            <w:r w:rsidRPr="00555B50">
              <w:rPr>
                <w:color w:val="auto"/>
                <w:sz w:val="20"/>
                <w:lang w:val="en-US"/>
              </w:rPr>
              <w:t>Quality criteria 5: TLM and assessment strategy support students in undertaking the course i.e. prerequisites are</w:t>
            </w:r>
            <w:r w:rsidR="000507DB" w:rsidRPr="00555B50">
              <w:rPr>
                <w:color w:val="auto"/>
                <w:sz w:val="20"/>
                <w:lang w:val="en-US"/>
              </w:rPr>
              <w:t xml:space="preserve"> </w:t>
            </w:r>
            <w:r w:rsidRPr="00555B50">
              <w:rPr>
                <w:color w:val="auto"/>
                <w:sz w:val="20"/>
                <w:lang w:val="en-US"/>
              </w:rPr>
              <w:t>helpful and relevant, assessments help gauge students understanding</w:t>
            </w:r>
          </w:p>
        </w:tc>
      </w:tr>
      <w:tr w:rsidR="00F1565E" w:rsidRPr="00F656D3" w14:paraId="65D9E509" w14:textId="77777777" w:rsidTr="006E29B2">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3D76E93F" w14:textId="77777777" w:rsidR="0089702F" w:rsidRPr="00BB427A" w:rsidRDefault="0089702F" w:rsidP="0089702F">
            <w:pPr>
              <w:numPr>
                <w:ilvl w:val="0"/>
                <w:numId w:val="1"/>
              </w:numPr>
              <w:spacing w:after="0"/>
              <w:ind w:hanging="360"/>
              <w:rPr>
                <w:color w:val="auto"/>
              </w:rPr>
            </w:pPr>
            <w:r w:rsidRPr="00BB427A">
              <w:rPr>
                <w:i/>
                <w:color w:val="auto"/>
                <w:sz w:val="20"/>
              </w:rPr>
              <w:t xml:space="preserve">Evaluation </w:t>
            </w:r>
          </w:p>
          <w:p w14:paraId="15DEEDB5" w14:textId="213BBE97" w:rsidR="0089702F" w:rsidRDefault="00342339" w:rsidP="00342339">
            <w:pPr>
              <w:spacing w:after="0"/>
              <w:jc w:val="both"/>
              <w:rPr>
                <w:color w:val="auto"/>
                <w:sz w:val="20"/>
                <w:lang w:val="en-US"/>
              </w:rPr>
            </w:pPr>
            <w:r>
              <w:rPr>
                <w:color w:val="auto"/>
                <w:sz w:val="20"/>
                <w:lang w:val="en-US"/>
              </w:rPr>
              <w:t>The prerequisites for this course are geography and e</w:t>
            </w:r>
            <w:r w:rsidRPr="00342339">
              <w:rPr>
                <w:color w:val="auto"/>
                <w:sz w:val="20"/>
                <w:lang w:val="en-US"/>
              </w:rPr>
              <w:t>nvironmental Sciences</w:t>
            </w:r>
            <w:r>
              <w:rPr>
                <w:color w:val="auto"/>
                <w:sz w:val="20"/>
                <w:lang w:val="en-US"/>
              </w:rPr>
              <w:t xml:space="preserve">, landscape studies, </w:t>
            </w:r>
            <w:r w:rsidRPr="00342339">
              <w:rPr>
                <w:color w:val="auto"/>
                <w:sz w:val="20"/>
                <w:lang w:val="en-US"/>
              </w:rPr>
              <w:t>Soil geography</w:t>
            </w:r>
            <w:r>
              <w:rPr>
                <w:color w:val="auto"/>
                <w:sz w:val="20"/>
                <w:lang w:val="en-US"/>
              </w:rPr>
              <w:t>, and o</w:t>
            </w:r>
            <w:r w:rsidRPr="00342339">
              <w:rPr>
                <w:color w:val="auto"/>
                <w:sz w:val="20"/>
                <w:lang w:val="en-US"/>
              </w:rPr>
              <w:t>rganic chemistry</w:t>
            </w:r>
            <w:r>
              <w:rPr>
                <w:color w:val="auto"/>
                <w:sz w:val="20"/>
                <w:lang w:val="en-US"/>
              </w:rPr>
              <w:t xml:space="preserve">, which are appropriate and necessary for carrying </w:t>
            </w:r>
            <w:proofErr w:type="gramStart"/>
            <w:r>
              <w:rPr>
                <w:color w:val="auto"/>
                <w:sz w:val="20"/>
                <w:lang w:val="en-US"/>
              </w:rPr>
              <w:t>out the</w:t>
            </w:r>
            <w:r w:rsidR="006F147D">
              <w:rPr>
                <w:color w:val="auto"/>
                <w:sz w:val="20"/>
                <w:lang w:val="en-US"/>
              </w:rPr>
              <w:t xml:space="preserve"> course’s</w:t>
            </w:r>
            <w:r>
              <w:rPr>
                <w:color w:val="auto"/>
                <w:sz w:val="20"/>
                <w:lang w:val="en-US"/>
              </w:rPr>
              <w:t xml:space="preserve"> assignments</w:t>
            </w:r>
            <w:r w:rsidR="006F147D">
              <w:rPr>
                <w:color w:val="auto"/>
                <w:sz w:val="20"/>
                <w:lang w:val="en-US"/>
              </w:rPr>
              <w:t xml:space="preserve"> and to maximize the learning outcomes</w:t>
            </w:r>
            <w:proofErr w:type="gramEnd"/>
            <w:r>
              <w:rPr>
                <w:color w:val="auto"/>
                <w:sz w:val="20"/>
                <w:lang w:val="en-US"/>
              </w:rPr>
              <w:t>.</w:t>
            </w:r>
          </w:p>
          <w:p w14:paraId="2451E7BC" w14:textId="77777777" w:rsidR="0089702F" w:rsidRPr="00BB427A" w:rsidRDefault="0089702F" w:rsidP="0089702F">
            <w:pPr>
              <w:spacing w:after="0"/>
              <w:jc w:val="both"/>
              <w:rPr>
                <w:color w:val="auto"/>
                <w:sz w:val="20"/>
                <w:lang w:val="en-US"/>
              </w:rPr>
            </w:pPr>
          </w:p>
          <w:p w14:paraId="7533ECDD" w14:textId="77777777" w:rsidR="0089702F" w:rsidRPr="00BB427A" w:rsidRDefault="0089702F" w:rsidP="0089702F">
            <w:pPr>
              <w:numPr>
                <w:ilvl w:val="0"/>
                <w:numId w:val="1"/>
              </w:numPr>
              <w:spacing w:after="0"/>
              <w:ind w:hanging="360"/>
              <w:rPr>
                <w:color w:val="auto"/>
              </w:rPr>
            </w:pPr>
            <w:r w:rsidRPr="00BB427A">
              <w:rPr>
                <w:i/>
                <w:color w:val="auto"/>
                <w:sz w:val="20"/>
              </w:rPr>
              <w:t xml:space="preserve">Strategies for improvement </w:t>
            </w:r>
          </w:p>
          <w:p w14:paraId="4FC8CC27" w14:textId="099498C6" w:rsidR="001369E2" w:rsidRDefault="006F147D" w:rsidP="00E451EA">
            <w:pPr>
              <w:spacing w:after="0"/>
              <w:jc w:val="both"/>
              <w:rPr>
                <w:color w:val="auto"/>
                <w:sz w:val="20"/>
                <w:lang w:val="en-US"/>
              </w:rPr>
            </w:pPr>
            <w:r w:rsidRPr="006F147D">
              <w:rPr>
                <w:color w:val="auto"/>
                <w:sz w:val="20"/>
                <w:lang w:val="en-US"/>
              </w:rPr>
              <w:t xml:space="preserve">Including more recent material on </w:t>
            </w:r>
            <w:proofErr w:type="gramStart"/>
            <w:r w:rsidRPr="006F147D">
              <w:rPr>
                <w:color w:val="auto"/>
                <w:sz w:val="20"/>
                <w:lang w:val="en-US"/>
              </w:rPr>
              <w:t>this topics</w:t>
            </w:r>
            <w:proofErr w:type="gramEnd"/>
            <w:r w:rsidRPr="006F147D">
              <w:rPr>
                <w:color w:val="auto"/>
                <w:sz w:val="20"/>
                <w:lang w:val="en-US"/>
              </w:rPr>
              <w:t xml:space="preserve"> in the mandatory literature could be beneficial</w:t>
            </w:r>
            <w:r>
              <w:rPr>
                <w:color w:val="auto"/>
                <w:sz w:val="20"/>
                <w:lang w:val="en-US"/>
              </w:rPr>
              <w:t xml:space="preserve"> and relevant</w:t>
            </w:r>
            <w:r w:rsidRPr="006F147D">
              <w:rPr>
                <w:color w:val="auto"/>
                <w:sz w:val="20"/>
                <w:lang w:val="en-US"/>
              </w:rPr>
              <w:t xml:space="preserve"> for achieving teaching and learning outcomes.</w:t>
            </w:r>
            <w:r w:rsidR="00EB66BF">
              <w:rPr>
                <w:color w:val="auto"/>
                <w:sz w:val="20"/>
                <w:lang w:val="en-US"/>
              </w:rPr>
              <w:t xml:space="preserve"> Some recommendations for this purpose are:</w:t>
            </w:r>
          </w:p>
          <w:p w14:paraId="4350AB05" w14:textId="6149E97A" w:rsidR="00EB66BF" w:rsidRDefault="00EB66BF" w:rsidP="00EB66BF">
            <w:pPr>
              <w:pStyle w:val="ListParagraph"/>
              <w:numPr>
                <w:ilvl w:val="0"/>
                <w:numId w:val="6"/>
              </w:numPr>
              <w:spacing w:after="0"/>
              <w:jc w:val="both"/>
              <w:rPr>
                <w:color w:val="auto"/>
                <w:sz w:val="20"/>
                <w:lang w:val="en-US"/>
              </w:rPr>
            </w:pPr>
            <w:proofErr w:type="spellStart"/>
            <w:r w:rsidRPr="00EB66BF">
              <w:rPr>
                <w:color w:val="auto"/>
                <w:sz w:val="20"/>
                <w:lang w:val="en-US"/>
              </w:rPr>
              <w:t>Xie</w:t>
            </w:r>
            <w:proofErr w:type="spellEnd"/>
            <w:r w:rsidRPr="00EB66BF">
              <w:rPr>
                <w:color w:val="auto"/>
                <w:sz w:val="20"/>
                <w:lang w:val="en-US"/>
              </w:rPr>
              <w:t xml:space="preserve">, H.; Zhang, Y.; Wu, Z.; </w:t>
            </w:r>
            <w:proofErr w:type="spellStart"/>
            <w:r w:rsidRPr="00EB66BF">
              <w:rPr>
                <w:color w:val="auto"/>
                <w:sz w:val="20"/>
                <w:lang w:val="en-US"/>
              </w:rPr>
              <w:t>Lv</w:t>
            </w:r>
            <w:proofErr w:type="spellEnd"/>
            <w:r w:rsidRPr="00EB66BF">
              <w:rPr>
                <w:color w:val="auto"/>
                <w:sz w:val="20"/>
                <w:lang w:val="en-US"/>
              </w:rPr>
              <w:t xml:space="preserve">, T. A Bibliometric Analysis on Land Degradation: </w:t>
            </w:r>
            <w:proofErr w:type="gramStart"/>
            <w:r w:rsidRPr="00EB66BF">
              <w:rPr>
                <w:color w:val="auto"/>
                <w:sz w:val="20"/>
                <w:lang w:val="en-US"/>
              </w:rPr>
              <w:t>Current Status</w:t>
            </w:r>
            <w:proofErr w:type="gramEnd"/>
            <w:r w:rsidRPr="00EB66BF">
              <w:rPr>
                <w:color w:val="auto"/>
                <w:sz w:val="20"/>
                <w:lang w:val="en-US"/>
              </w:rPr>
              <w:t xml:space="preserve">, Development, and Future Directions. Land 2020, 9, 28. </w:t>
            </w:r>
            <w:hyperlink r:id="rId11" w:history="1">
              <w:r w:rsidRPr="00AA66DC">
                <w:rPr>
                  <w:rStyle w:val="Hyperlink"/>
                  <w:sz w:val="20"/>
                  <w:lang w:val="en-US"/>
                </w:rPr>
                <w:t>https://doi.org/10.3390/land9010028</w:t>
              </w:r>
            </w:hyperlink>
          </w:p>
          <w:p w14:paraId="031D1491" w14:textId="41CB5DA0" w:rsidR="00EB66BF" w:rsidRDefault="00EB66BF" w:rsidP="00EB66BF">
            <w:pPr>
              <w:pStyle w:val="ListParagraph"/>
              <w:numPr>
                <w:ilvl w:val="0"/>
                <w:numId w:val="6"/>
              </w:numPr>
              <w:spacing w:after="0"/>
              <w:jc w:val="both"/>
              <w:rPr>
                <w:color w:val="auto"/>
                <w:sz w:val="20"/>
                <w:lang w:val="en-US"/>
              </w:rPr>
            </w:pPr>
            <w:r w:rsidRPr="00EB66BF">
              <w:rPr>
                <w:color w:val="auto"/>
                <w:sz w:val="20"/>
                <w:lang w:val="pt-BR"/>
              </w:rPr>
              <w:t xml:space="preserve">Wang J, Bretz M, Dewan MA, Delavar MA. </w:t>
            </w:r>
            <w:r w:rsidRPr="00EB66BF">
              <w:rPr>
                <w:color w:val="auto"/>
                <w:sz w:val="20"/>
                <w:lang w:val="en-US"/>
              </w:rPr>
              <w:t xml:space="preserve">Machine learning in modelling land-use and land cover-change (LULCC): </w:t>
            </w:r>
            <w:proofErr w:type="gramStart"/>
            <w:r w:rsidRPr="00EB66BF">
              <w:rPr>
                <w:color w:val="auto"/>
                <w:sz w:val="20"/>
                <w:lang w:val="en-US"/>
              </w:rPr>
              <w:t>Current status</w:t>
            </w:r>
            <w:proofErr w:type="gramEnd"/>
            <w:r w:rsidRPr="00EB66BF">
              <w:rPr>
                <w:color w:val="auto"/>
                <w:sz w:val="20"/>
                <w:lang w:val="en-US"/>
              </w:rPr>
              <w:t xml:space="preserve">, challenges and prospects. Science of </w:t>
            </w:r>
            <w:proofErr w:type="gramStart"/>
            <w:r w:rsidRPr="00EB66BF">
              <w:rPr>
                <w:color w:val="auto"/>
                <w:sz w:val="20"/>
                <w:lang w:val="en-US"/>
              </w:rPr>
              <w:t>The</w:t>
            </w:r>
            <w:proofErr w:type="gramEnd"/>
            <w:r w:rsidRPr="00EB66BF">
              <w:rPr>
                <w:color w:val="auto"/>
                <w:sz w:val="20"/>
                <w:lang w:val="en-US"/>
              </w:rPr>
              <w:t xml:space="preserve"> Total Environment. </w:t>
            </w:r>
            <w:proofErr w:type="gramStart"/>
            <w:r w:rsidRPr="00EB66BF">
              <w:rPr>
                <w:color w:val="auto"/>
                <w:sz w:val="20"/>
                <w:lang w:val="en-US"/>
              </w:rPr>
              <w:t>2022</w:t>
            </w:r>
            <w:proofErr w:type="gramEnd"/>
            <w:r w:rsidRPr="00EB66BF">
              <w:rPr>
                <w:color w:val="auto"/>
                <w:sz w:val="20"/>
                <w:lang w:val="en-US"/>
              </w:rPr>
              <w:t xml:space="preserve"> Jan 31:153559.</w:t>
            </w:r>
            <w:r>
              <w:rPr>
                <w:color w:val="auto"/>
                <w:sz w:val="20"/>
                <w:lang w:val="en-US"/>
              </w:rPr>
              <w:t xml:space="preserve"> </w:t>
            </w:r>
            <w:hyperlink r:id="rId12" w:history="1">
              <w:r w:rsidRPr="00AA66DC">
                <w:rPr>
                  <w:rStyle w:val="Hyperlink"/>
                  <w:sz w:val="20"/>
                  <w:lang w:val="en-US"/>
                </w:rPr>
                <w:t>https://doi.org/10.1016/j.scitotenv.2022.153559</w:t>
              </w:r>
            </w:hyperlink>
          </w:p>
          <w:p w14:paraId="2857528C" w14:textId="1BD5C143" w:rsidR="00EB66BF" w:rsidRDefault="00EB66BF" w:rsidP="00EB66BF">
            <w:pPr>
              <w:pStyle w:val="ListParagraph"/>
              <w:numPr>
                <w:ilvl w:val="0"/>
                <w:numId w:val="6"/>
              </w:numPr>
              <w:spacing w:after="0"/>
              <w:jc w:val="both"/>
              <w:rPr>
                <w:color w:val="auto"/>
                <w:sz w:val="20"/>
                <w:lang w:val="en-US"/>
              </w:rPr>
            </w:pPr>
            <w:proofErr w:type="spellStart"/>
            <w:r w:rsidRPr="00EB66BF">
              <w:rPr>
                <w:color w:val="auto"/>
                <w:sz w:val="20"/>
                <w:lang w:val="en-US"/>
              </w:rPr>
              <w:t>Toth</w:t>
            </w:r>
            <w:proofErr w:type="spellEnd"/>
            <w:r w:rsidRPr="00EB66BF">
              <w:rPr>
                <w:color w:val="auto"/>
                <w:sz w:val="20"/>
                <w:lang w:val="en-US"/>
              </w:rPr>
              <w:t xml:space="preserve"> C, </w:t>
            </w:r>
            <w:proofErr w:type="spellStart"/>
            <w:r w:rsidRPr="00EB66BF">
              <w:rPr>
                <w:color w:val="auto"/>
                <w:sz w:val="20"/>
                <w:lang w:val="en-US"/>
              </w:rPr>
              <w:t>Jóźków</w:t>
            </w:r>
            <w:proofErr w:type="spellEnd"/>
            <w:r w:rsidRPr="00EB66BF">
              <w:rPr>
                <w:color w:val="auto"/>
                <w:sz w:val="20"/>
                <w:lang w:val="en-US"/>
              </w:rPr>
              <w:t xml:space="preserve"> G. Remote sensing platforms and sensors: A survey. ISPRS Journal of Photogrammetry and Remote Sensing. 2016 May 1</w:t>
            </w:r>
            <w:proofErr w:type="gramStart"/>
            <w:r w:rsidRPr="00EB66BF">
              <w:rPr>
                <w:color w:val="auto"/>
                <w:sz w:val="20"/>
                <w:lang w:val="en-US"/>
              </w:rPr>
              <w:t>;115:22</w:t>
            </w:r>
            <w:proofErr w:type="gramEnd"/>
            <w:r w:rsidRPr="00EB66BF">
              <w:rPr>
                <w:color w:val="auto"/>
                <w:sz w:val="20"/>
                <w:lang w:val="en-US"/>
              </w:rPr>
              <w:t>-36.</w:t>
            </w:r>
            <w:r>
              <w:rPr>
                <w:color w:val="auto"/>
                <w:sz w:val="20"/>
                <w:lang w:val="en-US"/>
              </w:rPr>
              <w:t xml:space="preserve"> </w:t>
            </w:r>
            <w:hyperlink r:id="rId13" w:history="1">
              <w:r w:rsidRPr="00AA66DC">
                <w:rPr>
                  <w:rStyle w:val="Hyperlink"/>
                  <w:sz w:val="20"/>
                  <w:lang w:val="en-US"/>
                </w:rPr>
                <w:t>https://doi.org/10.1016/j.isprsjprs.2015.10.004</w:t>
              </w:r>
            </w:hyperlink>
          </w:p>
          <w:p w14:paraId="6E51BA32" w14:textId="1CEFDCB7" w:rsidR="00EB66BF" w:rsidRDefault="00EB66BF" w:rsidP="00EB66BF">
            <w:pPr>
              <w:pStyle w:val="ListParagraph"/>
              <w:numPr>
                <w:ilvl w:val="0"/>
                <w:numId w:val="6"/>
              </w:numPr>
              <w:spacing w:after="0"/>
              <w:jc w:val="both"/>
              <w:rPr>
                <w:color w:val="auto"/>
                <w:sz w:val="20"/>
                <w:lang w:val="en-US"/>
              </w:rPr>
            </w:pPr>
            <w:proofErr w:type="spellStart"/>
            <w:r w:rsidRPr="00EB66BF">
              <w:rPr>
                <w:color w:val="auto"/>
                <w:sz w:val="20"/>
                <w:lang w:val="en-US"/>
              </w:rPr>
              <w:t>Foxcroft</w:t>
            </w:r>
            <w:proofErr w:type="spellEnd"/>
            <w:r w:rsidRPr="00EB66BF">
              <w:rPr>
                <w:color w:val="auto"/>
                <w:sz w:val="20"/>
                <w:lang w:val="en-US"/>
              </w:rPr>
              <w:t xml:space="preserve">, L.C., </w:t>
            </w:r>
            <w:proofErr w:type="spellStart"/>
            <w:r w:rsidRPr="00EB66BF">
              <w:rPr>
                <w:color w:val="auto"/>
                <w:sz w:val="20"/>
                <w:lang w:val="en-US"/>
              </w:rPr>
              <w:t>Pyšek</w:t>
            </w:r>
            <w:proofErr w:type="spellEnd"/>
            <w:r w:rsidRPr="00EB66BF">
              <w:rPr>
                <w:color w:val="auto"/>
                <w:sz w:val="20"/>
                <w:lang w:val="en-US"/>
              </w:rPr>
              <w:t xml:space="preserve">, P., Richardson, D.M. et al. Plant invasion science in protected areas: progress and priorities. </w:t>
            </w:r>
            <w:proofErr w:type="spellStart"/>
            <w:r w:rsidRPr="00EB66BF">
              <w:rPr>
                <w:color w:val="auto"/>
                <w:sz w:val="20"/>
                <w:lang w:val="en-US"/>
              </w:rPr>
              <w:t>Biol</w:t>
            </w:r>
            <w:proofErr w:type="spellEnd"/>
            <w:r w:rsidRPr="00EB66BF">
              <w:rPr>
                <w:color w:val="auto"/>
                <w:sz w:val="20"/>
                <w:lang w:val="en-US"/>
              </w:rPr>
              <w:t xml:space="preserve"> Invasions 19, 1353–1378 (2017). </w:t>
            </w:r>
            <w:hyperlink r:id="rId14" w:history="1">
              <w:r w:rsidRPr="00AA66DC">
                <w:rPr>
                  <w:rStyle w:val="Hyperlink"/>
                  <w:sz w:val="20"/>
                  <w:lang w:val="en-US"/>
                </w:rPr>
                <w:t>https://doi.org/10.1007/s10530-016-1367-z</w:t>
              </w:r>
            </w:hyperlink>
          </w:p>
          <w:p w14:paraId="38F307E9" w14:textId="7FAA7143" w:rsidR="00EB66BF" w:rsidRDefault="00EB66BF" w:rsidP="00EB66BF">
            <w:pPr>
              <w:pStyle w:val="ListParagraph"/>
              <w:numPr>
                <w:ilvl w:val="0"/>
                <w:numId w:val="6"/>
              </w:numPr>
              <w:spacing w:after="0"/>
              <w:jc w:val="both"/>
              <w:rPr>
                <w:color w:val="auto"/>
                <w:sz w:val="20"/>
                <w:lang w:val="en-US"/>
              </w:rPr>
            </w:pPr>
            <w:proofErr w:type="spellStart"/>
            <w:r w:rsidRPr="00EB66BF">
              <w:rPr>
                <w:color w:val="auto"/>
                <w:sz w:val="20"/>
                <w:lang w:val="en-US"/>
              </w:rPr>
              <w:t>Heaphy</w:t>
            </w:r>
            <w:proofErr w:type="spellEnd"/>
            <w:r w:rsidRPr="00EB66BF">
              <w:rPr>
                <w:color w:val="auto"/>
                <w:sz w:val="20"/>
                <w:lang w:val="en-US"/>
              </w:rPr>
              <w:t xml:space="preserve"> M, Watt MS, Dash JP, </w:t>
            </w:r>
            <w:proofErr w:type="spellStart"/>
            <w:r w:rsidRPr="00EB66BF">
              <w:rPr>
                <w:color w:val="auto"/>
                <w:sz w:val="20"/>
                <w:lang w:val="en-US"/>
              </w:rPr>
              <w:t>Pearse</w:t>
            </w:r>
            <w:proofErr w:type="spellEnd"/>
            <w:r w:rsidRPr="00EB66BF">
              <w:rPr>
                <w:color w:val="auto"/>
                <w:sz w:val="20"/>
                <w:lang w:val="en-US"/>
              </w:rPr>
              <w:t xml:space="preserve"> GD. UAVs for data </w:t>
            </w:r>
            <w:proofErr w:type="gramStart"/>
            <w:r w:rsidRPr="00EB66BF">
              <w:rPr>
                <w:color w:val="auto"/>
                <w:sz w:val="20"/>
                <w:lang w:val="en-US"/>
              </w:rPr>
              <w:t>collection-plugging</w:t>
            </w:r>
            <w:proofErr w:type="gramEnd"/>
            <w:r w:rsidRPr="00EB66BF">
              <w:rPr>
                <w:color w:val="auto"/>
                <w:sz w:val="20"/>
                <w:lang w:val="en-US"/>
              </w:rPr>
              <w:t xml:space="preserve"> the gap. New Zealand Journal of Forestry. 2017 May</w:t>
            </w:r>
            <w:proofErr w:type="gramStart"/>
            <w:r w:rsidRPr="00EB66BF">
              <w:rPr>
                <w:color w:val="auto"/>
                <w:sz w:val="20"/>
                <w:lang w:val="en-US"/>
              </w:rPr>
              <w:t>;62</w:t>
            </w:r>
            <w:proofErr w:type="gramEnd"/>
            <w:r w:rsidRPr="00EB66BF">
              <w:rPr>
                <w:color w:val="auto"/>
                <w:sz w:val="20"/>
                <w:lang w:val="en-US"/>
              </w:rPr>
              <w:t>(1):23-30.</w:t>
            </w:r>
            <w:r>
              <w:rPr>
                <w:color w:val="auto"/>
                <w:sz w:val="20"/>
                <w:lang w:val="en-US"/>
              </w:rPr>
              <w:t xml:space="preserve"> </w:t>
            </w:r>
            <w:hyperlink r:id="rId15" w:history="1">
              <w:r w:rsidRPr="00AA66DC">
                <w:rPr>
                  <w:rStyle w:val="Hyperlink"/>
                  <w:sz w:val="20"/>
                  <w:lang w:val="en-US"/>
                </w:rPr>
                <w:t>http://nzjf.org.nz/abstract.php?v</w:t>
              </w:r>
              <w:r w:rsidRPr="00AA66DC">
                <w:rPr>
                  <w:rStyle w:val="Hyperlink"/>
                  <w:sz w:val="20"/>
                  <w:lang w:val="en-US"/>
                </w:rPr>
                <w:t>o</w:t>
              </w:r>
              <w:r w:rsidRPr="00AA66DC">
                <w:rPr>
                  <w:rStyle w:val="Hyperlink"/>
                  <w:sz w:val="20"/>
                  <w:lang w:val="en-US"/>
                </w:rPr>
                <w:t>lume_issue=j62_1&amp;first_page=23</w:t>
              </w:r>
            </w:hyperlink>
          </w:p>
          <w:p w14:paraId="2F6EAD5A" w14:textId="59E08954" w:rsidR="00EB66BF" w:rsidRDefault="00EB66BF" w:rsidP="00EB66BF">
            <w:pPr>
              <w:pStyle w:val="ListParagraph"/>
              <w:numPr>
                <w:ilvl w:val="0"/>
                <w:numId w:val="6"/>
              </w:numPr>
              <w:spacing w:after="0"/>
              <w:jc w:val="both"/>
              <w:rPr>
                <w:color w:val="auto"/>
                <w:sz w:val="20"/>
                <w:lang w:val="en-US"/>
              </w:rPr>
            </w:pPr>
            <w:proofErr w:type="spellStart"/>
            <w:r w:rsidRPr="00EB66BF">
              <w:rPr>
                <w:color w:val="auto"/>
                <w:sz w:val="20"/>
                <w:lang w:val="en-US"/>
              </w:rPr>
              <w:t>Spigarelli</w:t>
            </w:r>
            <w:proofErr w:type="spellEnd"/>
            <w:r w:rsidRPr="00EB66BF">
              <w:rPr>
                <w:color w:val="auto"/>
                <w:sz w:val="20"/>
                <w:lang w:val="en-US"/>
              </w:rPr>
              <w:t xml:space="preserve"> C, </w:t>
            </w:r>
            <w:proofErr w:type="spellStart"/>
            <w:r w:rsidRPr="00EB66BF">
              <w:rPr>
                <w:color w:val="auto"/>
                <w:sz w:val="20"/>
                <w:lang w:val="en-US"/>
              </w:rPr>
              <w:t>Zuliani</w:t>
            </w:r>
            <w:proofErr w:type="spellEnd"/>
            <w:r w:rsidRPr="00EB66BF">
              <w:rPr>
                <w:color w:val="auto"/>
                <w:sz w:val="20"/>
                <w:lang w:val="en-US"/>
              </w:rPr>
              <w:t xml:space="preserve"> A, </w:t>
            </w:r>
            <w:proofErr w:type="spellStart"/>
            <w:r w:rsidRPr="00EB66BF">
              <w:rPr>
                <w:color w:val="auto"/>
                <w:sz w:val="20"/>
                <w:lang w:val="en-US"/>
              </w:rPr>
              <w:t>Battini</w:t>
            </w:r>
            <w:proofErr w:type="spellEnd"/>
            <w:r w:rsidRPr="00EB66BF">
              <w:rPr>
                <w:color w:val="auto"/>
                <w:sz w:val="20"/>
                <w:lang w:val="en-US"/>
              </w:rPr>
              <w:t xml:space="preserve"> M, </w:t>
            </w:r>
            <w:proofErr w:type="spellStart"/>
            <w:r w:rsidRPr="00EB66BF">
              <w:rPr>
                <w:color w:val="auto"/>
                <w:sz w:val="20"/>
                <w:lang w:val="en-US"/>
              </w:rPr>
              <w:t>Mattiello</w:t>
            </w:r>
            <w:proofErr w:type="spellEnd"/>
            <w:r w:rsidRPr="00EB66BF">
              <w:rPr>
                <w:color w:val="auto"/>
                <w:sz w:val="20"/>
                <w:lang w:val="en-US"/>
              </w:rPr>
              <w:t xml:space="preserve"> S, </w:t>
            </w:r>
            <w:proofErr w:type="spellStart"/>
            <w:r w:rsidRPr="00EB66BF">
              <w:rPr>
                <w:color w:val="auto"/>
                <w:sz w:val="20"/>
                <w:lang w:val="en-US"/>
              </w:rPr>
              <w:t>Bovolenta</w:t>
            </w:r>
            <w:proofErr w:type="spellEnd"/>
            <w:r w:rsidRPr="00EB66BF">
              <w:rPr>
                <w:color w:val="auto"/>
                <w:sz w:val="20"/>
                <w:lang w:val="en-US"/>
              </w:rPr>
              <w:t xml:space="preserve"> S. Welfare assessment on pasture: A review on animal-based measures for ruminants. Animals. 2020 Apr 2</w:t>
            </w:r>
            <w:proofErr w:type="gramStart"/>
            <w:r w:rsidRPr="00EB66BF">
              <w:rPr>
                <w:color w:val="auto"/>
                <w:sz w:val="20"/>
                <w:lang w:val="en-US"/>
              </w:rPr>
              <w:t>;10</w:t>
            </w:r>
            <w:proofErr w:type="gramEnd"/>
            <w:r w:rsidRPr="00EB66BF">
              <w:rPr>
                <w:color w:val="auto"/>
                <w:sz w:val="20"/>
                <w:lang w:val="en-US"/>
              </w:rPr>
              <w:t>(4):609.</w:t>
            </w:r>
            <w:r>
              <w:rPr>
                <w:color w:val="auto"/>
                <w:sz w:val="20"/>
                <w:lang w:val="en-US"/>
              </w:rPr>
              <w:t xml:space="preserve"> </w:t>
            </w:r>
            <w:hyperlink r:id="rId16" w:history="1">
              <w:r w:rsidRPr="00AA66DC">
                <w:rPr>
                  <w:rStyle w:val="Hyperlink"/>
                  <w:sz w:val="20"/>
                  <w:lang w:val="en-US"/>
                </w:rPr>
                <w:t>https://doi.org/10.3390/ani10040609</w:t>
              </w:r>
            </w:hyperlink>
          </w:p>
          <w:p w14:paraId="0FCE543E" w14:textId="0F865404" w:rsidR="00EB66BF" w:rsidRDefault="00596781" w:rsidP="00596781">
            <w:pPr>
              <w:pStyle w:val="ListParagraph"/>
              <w:numPr>
                <w:ilvl w:val="0"/>
                <w:numId w:val="6"/>
              </w:numPr>
              <w:spacing w:after="0"/>
              <w:jc w:val="both"/>
              <w:rPr>
                <w:color w:val="auto"/>
                <w:sz w:val="20"/>
                <w:lang w:val="en-US"/>
              </w:rPr>
            </w:pPr>
            <w:proofErr w:type="spellStart"/>
            <w:r w:rsidRPr="00596781">
              <w:rPr>
                <w:color w:val="auto"/>
                <w:sz w:val="20"/>
                <w:lang w:val="en-US"/>
              </w:rPr>
              <w:t>Aquilani</w:t>
            </w:r>
            <w:proofErr w:type="spellEnd"/>
            <w:r w:rsidRPr="00596781">
              <w:rPr>
                <w:color w:val="auto"/>
                <w:sz w:val="20"/>
                <w:lang w:val="en-US"/>
              </w:rPr>
              <w:t xml:space="preserve"> C, </w:t>
            </w:r>
            <w:proofErr w:type="spellStart"/>
            <w:r w:rsidRPr="00596781">
              <w:rPr>
                <w:color w:val="auto"/>
                <w:sz w:val="20"/>
                <w:lang w:val="en-US"/>
              </w:rPr>
              <w:t>Confessore</w:t>
            </w:r>
            <w:proofErr w:type="spellEnd"/>
            <w:r w:rsidRPr="00596781">
              <w:rPr>
                <w:color w:val="auto"/>
                <w:sz w:val="20"/>
                <w:lang w:val="en-US"/>
              </w:rPr>
              <w:t xml:space="preserve"> A, </w:t>
            </w:r>
            <w:proofErr w:type="spellStart"/>
            <w:r w:rsidRPr="00596781">
              <w:rPr>
                <w:color w:val="auto"/>
                <w:sz w:val="20"/>
                <w:lang w:val="en-US"/>
              </w:rPr>
              <w:t>Bozzi</w:t>
            </w:r>
            <w:proofErr w:type="spellEnd"/>
            <w:r w:rsidRPr="00596781">
              <w:rPr>
                <w:color w:val="auto"/>
                <w:sz w:val="20"/>
                <w:lang w:val="en-US"/>
              </w:rPr>
              <w:t xml:space="preserve"> R, </w:t>
            </w:r>
            <w:proofErr w:type="spellStart"/>
            <w:r w:rsidRPr="00596781">
              <w:rPr>
                <w:color w:val="auto"/>
                <w:sz w:val="20"/>
                <w:lang w:val="en-US"/>
              </w:rPr>
              <w:t>Sirtori</w:t>
            </w:r>
            <w:proofErr w:type="spellEnd"/>
            <w:r w:rsidRPr="00596781">
              <w:rPr>
                <w:color w:val="auto"/>
                <w:sz w:val="20"/>
                <w:lang w:val="en-US"/>
              </w:rPr>
              <w:t xml:space="preserve"> F, Pugliese C. Review: Precision livestock farming technologies in pasture-based livestock systems. Animal. </w:t>
            </w:r>
            <w:proofErr w:type="gramStart"/>
            <w:r w:rsidRPr="00596781">
              <w:rPr>
                <w:color w:val="auto"/>
                <w:sz w:val="20"/>
                <w:lang w:val="en-US"/>
              </w:rPr>
              <w:t>16</w:t>
            </w:r>
            <w:proofErr w:type="gramEnd"/>
            <w:r w:rsidRPr="00596781">
              <w:rPr>
                <w:color w:val="auto"/>
                <w:sz w:val="20"/>
                <w:lang w:val="en-US"/>
              </w:rPr>
              <w:t xml:space="preserve"> (1), 100429.</w:t>
            </w:r>
            <w:r>
              <w:rPr>
                <w:color w:val="auto"/>
                <w:sz w:val="20"/>
                <w:lang w:val="en-US"/>
              </w:rPr>
              <w:t xml:space="preserve"> </w:t>
            </w:r>
            <w:hyperlink r:id="rId17" w:history="1">
              <w:r w:rsidRPr="00AA66DC">
                <w:rPr>
                  <w:rStyle w:val="Hyperlink"/>
                  <w:sz w:val="20"/>
                  <w:lang w:val="en-US"/>
                </w:rPr>
                <w:t>https://doi.org/10.1016/j.animal.2021.100429</w:t>
              </w:r>
            </w:hyperlink>
          </w:p>
          <w:p w14:paraId="6A5DA569" w14:textId="5E9DCD96" w:rsidR="00596781" w:rsidRDefault="00596781" w:rsidP="00596781">
            <w:pPr>
              <w:pStyle w:val="ListParagraph"/>
              <w:numPr>
                <w:ilvl w:val="0"/>
                <w:numId w:val="6"/>
              </w:numPr>
              <w:spacing w:after="0"/>
              <w:jc w:val="both"/>
              <w:rPr>
                <w:color w:val="auto"/>
                <w:sz w:val="20"/>
                <w:lang w:val="en-US"/>
              </w:rPr>
            </w:pPr>
            <w:r w:rsidRPr="00596781">
              <w:rPr>
                <w:color w:val="auto"/>
                <w:sz w:val="20"/>
                <w:lang w:val="en-US"/>
              </w:rPr>
              <w:t xml:space="preserve">Y. Liu, X. Ma, L. Shu, G. P. </w:t>
            </w:r>
            <w:proofErr w:type="spellStart"/>
            <w:r w:rsidRPr="00596781">
              <w:rPr>
                <w:color w:val="auto"/>
                <w:sz w:val="20"/>
                <w:lang w:val="en-US"/>
              </w:rPr>
              <w:t>Hancke</w:t>
            </w:r>
            <w:proofErr w:type="spellEnd"/>
            <w:r w:rsidRPr="00596781">
              <w:rPr>
                <w:color w:val="auto"/>
                <w:sz w:val="20"/>
                <w:lang w:val="en-US"/>
              </w:rPr>
              <w:t xml:space="preserve"> and A. M. Abu-Mahfouz, "From Industry 4.0 to Agriculture 4.0: Current Status, Enabling Technologies, and Research Challenges," in IEEE Transactions on Industrial Informatics, vol. 17, no. 6,</w:t>
            </w:r>
            <w:r>
              <w:rPr>
                <w:color w:val="auto"/>
                <w:sz w:val="20"/>
                <w:lang w:val="en-US"/>
              </w:rPr>
              <w:t xml:space="preserve"> pp. 4322-4334, June 2021, </w:t>
            </w:r>
            <w:hyperlink r:id="rId18" w:history="1">
              <w:r w:rsidRPr="00AA66DC">
                <w:rPr>
                  <w:rStyle w:val="Hyperlink"/>
                  <w:sz w:val="20"/>
                  <w:lang w:val="en-US"/>
                </w:rPr>
                <w:t>https://doi.org/10.1109/TII.2020.3003910</w:t>
              </w:r>
            </w:hyperlink>
          </w:p>
          <w:p w14:paraId="71197D57" w14:textId="3694CA8B" w:rsidR="00596781" w:rsidRPr="00596781" w:rsidRDefault="00596781" w:rsidP="00596781">
            <w:pPr>
              <w:pStyle w:val="ListParagraph"/>
              <w:numPr>
                <w:ilvl w:val="0"/>
                <w:numId w:val="6"/>
              </w:numPr>
              <w:spacing w:after="0"/>
              <w:jc w:val="both"/>
              <w:rPr>
                <w:color w:val="auto"/>
                <w:sz w:val="20"/>
                <w:lang w:val="en-US"/>
              </w:rPr>
            </w:pPr>
            <w:proofErr w:type="spellStart"/>
            <w:r w:rsidRPr="00596781">
              <w:rPr>
                <w:color w:val="auto"/>
                <w:sz w:val="20"/>
                <w:lang w:val="en-US"/>
              </w:rPr>
              <w:t>Brevik</w:t>
            </w:r>
            <w:proofErr w:type="spellEnd"/>
            <w:r w:rsidRPr="00596781">
              <w:rPr>
                <w:color w:val="auto"/>
                <w:sz w:val="20"/>
                <w:lang w:val="en-US"/>
              </w:rPr>
              <w:t xml:space="preserve"> EC, Slaughter L, Singh BR, </w:t>
            </w:r>
            <w:proofErr w:type="spellStart"/>
            <w:r w:rsidRPr="00596781">
              <w:rPr>
                <w:color w:val="auto"/>
                <w:sz w:val="20"/>
                <w:lang w:val="en-US"/>
              </w:rPr>
              <w:t>Steffan</w:t>
            </w:r>
            <w:proofErr w:type="spellEnd"/>
            <w:r w:rsidRPr="00596781">
              <w:rPr>
                <w:color w:val="auto"/>
                <w:sz w:val="20"/>
                <w:lang w:val="en-US"/>
              </w:rPr>
              <w:t xml:space="preserve"> JJ, Collier D, Barnhart P, Pereira P. Soil and human health: </w:t>
            </w:r>
            <w:proofErr w:type="gramStart"/>
            <w:r w:rsidRPr="00596781">
              <w:rPr>
                <w:color w:val="auto"/>
                <w:sz w:val="20"/>
                <w:lang w:val="en-US"/>
              </w:rPr>
              <w:t>current status</w:t>
            </w:r>
            <w:proofErr w:type="gramEnd"/>
            <w:r w:rsidRPr="00596781">
              <w:rPr>
                <w:color w:val="auto"/>
                <w:sz w:val="20"/>
                <w:lang w:val="en-US"/>
              </w:rPr>
              <w:t xml:space="preserve"> and future needs. Air, Soil and Water Research. 2020 Jun</w:t>
            </w:r>
            <w:proofErr w:type="gramStart"/>
            <w:r w:rsidRPr="00596781">
              <w:rPr>
                <w:color w:val="auto"/>
                <w:sz w:val="20"/>
                <w:lang w:val="en-US"/>
              </w:rPr>
              <w:t>;13:1178622120934441</w:t>
            </w:r>
            <w:proofErr w:type="gramEnd"/>
            <w:r w:rsidRPr="00596781">
              <w:rPr>
                <w:color w:val="auto"/>
                <w:sz w:val="20"/>
                <w:lang w:val="en-US"/>
              </w:rPr>
              <w:t>.</w:t>
            </w:r>
            <w:r>
              <w:rPr>
                <w:color w:val="auto"/>
                <w:sz w:val="20"/>
                <w:lang w:val="en-US"/>
              </w:rPr>
              <w:t xml:space="preserve"> </w:t>
            </w:r>
            <w:hyperlink r:id="rId19" w:history="1">
              <w:r w:rsidR="0060084B" w:rsidRPr="00AA66DC">
                <w:rPr>
                  <w:rStyle w:val="Hyperlink"/>
                  <w:sz w:val="20"/>
                  <w:lang w:val="en-US"/>
                </w:rPr>
                <w:t>https://doi.org/10.1177/1178622120934441</w:t>
              </w:r>
            </w:hyperlink>
            <w:r w:rsidR="0060084B">
              <w:rPr>
                <w:color w:val="auto"/>
                <w:sz w:val="20"/>
                <w:lang w:val="en-US"/>
              </w:rPr>
              <w:t xml:space="preserve"> </w:t>
            </w:r>
            <w:bookmarkStart w:id="0" w:name="_GoBack"/>
            <w:bookmarkEnd w:id="0"/>
          </w:p>
          <w:p w14:paraId="1731A028" w14:textId="654CC922" w:rsidR="00747FFC" w:rsidRPr="004540A3" w:rsidRDefault="00747FFC" w:rsidP="001369E2">
            <w:pPr>
              <w:spacing w:after="43"/>
              <w:ind w:right="45"/>
              <w:jc w:val="both"/>
              <w:rPr>
                <w:color w:val="auto"/>
                <w:lang w:val="en-US"/>
              </w:rPr>
            </w:pPr>
          </w:p>
        </w:tc>
      </w:tr>
      <w:tr w:rsidR="00F1565E" w:rsidRPr="00F1565E" w14:paraId="620433B6" w14:textId="77777777" w:rsidTr="000507DB">
        <w:trPr>
          <w:trHeight w:val="626"/>
        </w:trPr>
        <w:tc>
          <w:tcPr>
            <w:tcW w:w="96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44" w:type="dxa"/>
              <w:left w:w="55" w:type="dxa"/>
              <w:bottom w:w="0" w:type="dxa"/>
              <w:right w:w="59" w:type="dxa"/>
            </w:tcMar>
          </w:tcPr>
          <w:p w14:paraId="27AE8692" w14:textId="7F922D0E" w:rsidR="000507DB" w:rsidRPr="00555B50" w:rsidRDefault="000507DB" w:rsidP="000507DB">
            <w:pPr>
              <w:spacing w:after="0"/>
              <w:rPr>
                <w:color w:val="auto"/>
                <w:sz w:val="20"/>
                <w:lang w:val="en-US"/>
              </w:rPr>
            </w:pPr>
            <w:r w:rsidRPr="00555B50">
              <w:rPr>
                <w:color w:val="auto"/>
                <w:sz w:val="20"/>
                <w:lang w:val="en-US"/>
              </w:rPr>
              <w:t>Quality criteria 6: Theory/Practice-oriented components are sufficient to cater the learning outcomes and skills</w:t>
            </w:r>
          </w:p>
          <w:p w14:paraId="26B3FD2B" w14:textId="6D6D510C" w:rsidR="000507DB" w:rsidRPr="00555B50" w:rsidRDefault="000507DB" w:rsidP="000507DB">
            <w:pPr>
              <w:spacing w:after="0"/>
              <w:rPr>
                <w:i/>
                <w:color w:val="auto"/>
                <w:sz w:val="20"/>
                <w:lang w:val="en-US"/>
              </w:rPr>
            </w:pPr>
            <w:r w:rsidRPr="00555B50">
              <w:rPr>
                <w:color w:val="auto"/>
                <w:sz w:val="20"/>
                <w:lang w:val="en-US"/>
              </w:rPr>
              <w:t>development</w:t>
            </w:r>
          </w:p>
        </w:tc>
      </w:tr>
      <w:tr w:rsidR="00F1565E" w:rsidRPr="00BB427A" w14:paraId="1AB8F49B" w14:textId="77777777" w:rsidTr="000507DB">
        <w:trPr>
          <w:trHeight w:val="140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44" w:type="dxa"/>
              <w:left w:w="55" w:type="dxa"/>
              <w:bottom w:w="0" w:type="dxa"/>
              <w:right w:w="59" w:type="dxa"/>
            </w:tcMar>
          </w:tcPr>
          <w:p w14:paraId="2817B722" w14:textId="77777777" w:rsidR="0089702F" w:rsidRPr="00BB427A" w:rsidRDefault="0089702F" w:rsidP="0089702F">
            <w:pPr>
              <w:numPr>
                <w:ilvl w:val="0"/>
                <w:numId w:val="1"/>
              </w:numPr>
              <w:spacing w:after="0"/>
              <w:ind w:hanging="360"/>
              <w:rPr>
                <w:color w:val="auto"/>
              </w:rPr>
            </w:pPr>
            <w:r w:rsidRPr="00BB427A">
              <w:rPr>
                <w:i/>
                <w:color w:val="auto"/>
                <w:sz w:val="20"/>
              </w:rPr>
              <w:t xml:space="preserve">Evaluation </w:t>
            </w:r>
          </w:p>
          <w:p w14:paraId="30D950F2" w14:textId="01DF4473" w:rsidR="0089702F" w:rsidRDefault="00E451EA" w:rsidP="0089702F">
            <w:pPr>
              <w:spacing w:after="0"/>
              <w:jc w:val="both"/>
              <w:rPr>
                <w:color w:val="auto"/>
                <w:sz w:val="20"/>
                <w:lang w:val="en-US"/>
              </w:rPr>
            </w:pPr>
            <w:r>
              <w:rPr>
                <w:color w:val="auto"/>
                <w:sz w:val="20"/>
                <w:lang w:val="en-US"/>
              </w:rPr>
              <w:t>The theoretical and practical components are balanced and relevant for the purpose of the course, and may promote the achievement of learning outcomes and skills development.</w:t>
            </w:r>
          </w:p>
          <w:p w14:paraId="1C03133B" w14:textId="77777777" w:rsidR="0089702F" w:rsidRPr="00BB427A" w:rsidRDefault="0089702F" w:rsidP="0089702F">
            <w:pPr>
              <w:spacing w:after="0"/>
              <w:jc w:val="both"/>
              <w:rPr>
                <w:color w:val="auto"/>
                <w:sz w:val="20"/>
                <w:lang w:val="en-US"/>
              </w:rPr>
            </w:pPr>
          </w:p>
          <w:p w14:paraId="3D058491" w14:textId="77777777" w:rsidR="0089702F" w:rsidRPr="00BB427A" w:rsidRDefault="0089702F" w:rsidP="0089702F">
            <w:pPr>
              <w:numPr>
                <w:ilvl w:val="0"/>
                <w:numId w:val="1"/>
              </w:numPr>
              <w:spacing w:after="0"/>
              <w:ind w:hanging="360"/>
              <w:rPr>
                <w:color w:val="auto"/>
              </w:rPr>
            </w:pPr>
            <w:r w:rsidRPr="00BB427A">
              <w:rPr>
                <w:i/>
                <w:color w:val="auto"/>
                <w:sz w:val="20"/>
              </w:rPr>
              <w:t xml:space="preserve">Strategies for improvement </w:t>
            </w:r>
          </w:p>
          <w:p w14:paraId="17BB891E" w14:textId="31172F15" w:rsidR="0089702F" w:rsidRPr="00E451EA" w:rsidRDefault="00E451EA" w:rsidP="00E451EA">
            <w:pPr>
              <w:spacing w:after="0"/>
              <w:jc w:val="both"/>
              <w:rPr>
                <w:color w:val="auto"/>
                <w:sz w:val="20"/>
                <w:lang w:val="en-US"/>
              </w:rPr>
            </w:pPr>
            <w:r w:rsidRPr="00E451EA">
              <w:rPr>
                <w:color w:val="auto"/>
                <w:sz w:val="20"/>
                <w:lang w:val="en-US"/>
              </w:rPr>
              <w:t>No strategies for improvement required.</w:t>
            </w:r>
          </w:p>
          <w:p w14:paraId="0983A761" w14:textId="5C724D98" w:rsidR="00697CD8" w:rsidRPr="00555B50" w:rsidRDefault="00697CD8" w:rsidP="00697CD8">
            <w:pPr>
              <w:spacing w:after="43"/>
              <w:ind w:right="45"/>
              <w:jc w:val="both"/>
              <w:rPr>
                <w:color w:val="auto"/>
                <w:lang w:val="en-US"/>
              </w:rPr>
            </w:pPr>
          </w:p>
        </w:tc>
      </w:tr>
    </w:tbl>
    <w:p w14:paraId="76177D4C" w14:textId="0A98D984" w:rsidR="00826080" w:rsidRPr="00555B50" w:rsidRDefault="00826080">
      <w:pPr>
        <w:spacing w:after="0"/>
        <w:rPr>
          <w:color w:val="auto"/>
          <w:lang w:val="en-US"/>
        </w:rPr>
      </w:pPr>
    </w:p>
    <w:p w14:paraId="24DD5CB8" w14:textId="5B3AC86C" w:rsidR="007A4578" w:rsidRPr="00555B50" w:rsidRDefault="007A4578">
      <w:pPr>
        <w:spacing w:after="0"/>
        <w:rPr>
          <w:color w:val="auto"/>
          <w:lang w:val="en-US"/>
        </w:rPr>
      </w:pPr>
    </w:p>
    <w:p w14:paraId="7927BF4E" w14:textId="77777777" w:rsidR="007A4578" w:rsidRPr="00555B50" w:rsidRDefault="007A4578">
      <w:pPr>
        <w:spacing w:after="0"/>
        <w:rPr>
          <w:color w:val="auto"/>
          <w:lang w:val="en-US"/>
        </w:rPr>
      </w:pPr>
    </w:p>
    <w:p w14:paraId="7E2EB6C8" w14:textId="77777777" w:rsidR="00826080" w:rsidRPr="00555B50" w:rsidRDefault="00EA2F9D">
      <w:pPr>
        <w:spacing w:after="80"/>
        <w:ind w:left="-5" w:right="-15" w:hanging="10"/>
        <w:jc w:val="both"/>
        <w:rPr>
          <w:color w:val="auto"/>
          <w:lang w:val="en-US"/>
        </w:rPr>
      </w:pPr>
      <w:r w:rsidRPr="00555B50">
        <w:rPr>
          <w:color w:val="auto"/>
          <w:sz w:val="20"/>
          <w:lang w:val="en-US"/>
        </w:rPr>
        <w:lastRenderedPageBreak/>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w:t>
      </w:r>
    </w:p>
    <w:p w14:paraId="6126FF54" w14:textId="77777777" w:rsidR="00826080" w:rsidRPr="00555B50" w:rsidRDefault="00826080">
      <w:pPr>
        <w:spacing w:after="0"/>
        <w:ind w:left="10" w:right="-4631" w:hanging="10"/>
        <w:rPr>
          <w:b/>
          <w:color w:val="auto"/>
          <w:lang w:val="en-US"/>
        </w:rPr>
      </w:pPr>
    </w:p>
    <w:p w14:paraId="4A656B41" w14:textId="6EBB9625" w:rsidR="00826080" w:rsidRPr="00555B50" w:rsidRDefault="00826080" w:rsidP="008F1A1A">
      <w:pPr>
        <w:spacing w:after="80"/>
        <w:ind w:right="-15"/>
        <w:jc w:val="both"/>
        <w:rPr>
          <w:color w:val="auto"/>
          <w:lang w:val="en-US"/>
        </w:rPr>
      </w:pPr>
    </w:p>
    <w:sectPr w:rsidR="00826080" w:rsidRPr="00555B50">
      <w:headerReference w:type="default" r:id="rId20"/>
      <w:pgSz w:w="11906" w:h="16838"/>
      <w:pgMar w:top="749" w:right="1134" w:bottom="707"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29781" w14:textId="77777777" w:rsidR="007D0C0B" w:rsidRDefault="007D0C0B">
      <w:pPr>
        <w:spacing w:after="0"/>
      </w:pPr>
      <w:r>
        <w:separator/>
      </w:r>
    </w:p>
  </w:endnote>
  <w:endnote w:type="continuationSeparator" w:id="0">
    <w:p w14:paraId="526B3446" w14:textId="77777777" w:rsidR="007D0C0B" w:rsidRDefault="007D0C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E7E35" w14:textId="77777777" w:rsidR="007D0C0B" w:rsidRDefault="007D0C0B">
      <w:pPr>
        <w:spacing w:after="0"/>
      </w:pPr>
      <w:r>
        <w:separator/>
      </w:r>
    </w:p>
  </w:footnote>
  <w:footnote w:type="continuationSeparator" w:id="0">
    <w:p w14:paraId="5249D1E7" w14:textId="77777777" w:rsidR="007D0C0B" w:rsidRDefault="007D0C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4D39C" w14:textId="353899CB" w:rsidR="00A31702" w:rsidRPr="00A31702" w:rsidRDefault="00A31702" w:rsidP="000E3D1A">
    <w:pPr>
      <w:pStyle w:val="Header"/>
      <w:jc w:val="right"/>
    </w:pPr>
    <w:r>
      <w:rPr>
        <w:noProof/>
        <w:lang w:val="et-EE" w:eastAsia="et-EE"/>
      </w:rPr>
      <w:drawing>
        <wp:anchor distT="0" distB="0" distL="114300" distR="114300" simplePos="0" relativeHeight="251659264" behindDoc="0" locked="0" layoutInCell="1" allowOverlap="1" wp14:anchorId="0A5F5239" wp14:editId="62724244">
          <wp:simplePos x="0" y="0"/>
          <wp:positionH relativeFrom="column">
            <wp:posOffset>-337279</wp:posOffset>
          </wp:positionH>
          <wp:positionV relativeFrom="paragraph">
            <wp:posOffset>-284813</wp:posOffset>
          </wp:positionV>
          <wp:extent cx="1362075" cy="390525"/>
          <wp:effectExtent l="0" t="0" r="0" b="3175"/>
          <wp:wrapNone/>
          <wp:docPr id="6"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62075" cy="390525"/>
                  </a:xfrm>
                  <a:prstGeom prst="rect">
                    <a:avLst/>
                  </a:prstGeom>
                  <a:ln/>
                </pic:spPr>
              </pic:pic>
            </a:graphicData>
          </a:graphic>
          <wp14:sizeRelH relativeFrom="page">
            <wp14:pctWidth>0</wp14:pctWidth>
          </wp14:sizeRelH>
          <wp14:sizeRelV relativeFrom="page">
            <wp14:pctHeight>0</wp14:pctHeight>
          </wp14:sizeRelV>
        </wp:anchor>
      </w:drawing>
    </w:r>
    <w:r w:rsidR="00BB427A" w:rsidRPr="00A93E13">
      <w:rPr>
        <w:noProof/>
        <w:lang w:val="et-EE" w:eastAsia="et-EE"/>
      </w:rPr>
      <w:drawing>
        <wp:inline distT="0" distB="0" distL="0" distR="0" wp14:anchorId="5770D7F6" wp14:editId="1F19E2B1">
          <wp:extent cx="984250" cy="771525"/>
          <wp:effectExtent l="0" t="0" r="6350" b="9525"/>
          <wp:docPr id="21" name="Picture 1" descr="logoURGENT2">
            <a:extLst xmlns:a="http://schemas.openxmlformats.org/drawingml/2006/main">
              <a:ext uri="{FF2B5EF4-FFF2-40B4-BE49-F238E27FC236}">
                <a16:creationId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a16="http://schemas.microsoft.com/office/drawing/2014/main" id="{2D7F4D11-C28A-49F9-AE40-18338FD878FE}"/>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160"/>
    <w:multiLevelType w:val="multilevel"/>
    <w:tmpl w:val="CD9EC51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23F5303A"/>
    <w:multiLevelType w:val="hybridMultilevel"/>
    <w:tmpl w:val="B8181F5A"/>
    <w:lvl w:ilvl="0" w:tplc="B9F22996">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AEC41D7"/>
    <w:multiLevelType w:val="multilevel"/>
    <w:tmpl w:val="22BA83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lang w:val="en-US"/>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4BF130CF"/>
    <w:multiLevelType w:val="multilevel"/>
    <w:tmpl w:val="5148BEE2"/>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55D33D65"/>
    <w:multiLevelType w:val="multilevel"/>
    <w:tmpl w:val="2B3C1AF8"/>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5F0923D4"/>
    <w:multiLevelType w:val="multilevel"/>
    <w:tmpl w:val="573024F4"/>
    <w:lvl w:ilvl="0">
      <w:numFmt w:val="bullet"/>
      <w:lvlText w:val="•"/>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0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473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6ED708D0"/>
    <w:multiLevelType w:val="hybridMultilevel"/>
    <w:tmpl w:val="787E1262"/>
    <w:lvl w:ilvl="0" w:tplc="5B0067CC">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cwtTC2tDQyNTIxNDVT0lEKTi0uzszPAykwrgUA7xObeywAAAA="/>
  </w:docVars>
  <w:rsids>
    <w:rsidRoot w:val="00826080"/>
    <w:rsid w:val="00037C35"/>
    <w:rsid w:val="0004177B"/>
    <w:rsid w:val="000507DB"/>
    <w:rsid w:val="00065F32"/>
    <w:rsid w:val="000775C4"/>
    <w:rsid w:val="000A0E66"/>
    <w:rsid w:val="000A3A2B"/>
    <w:rsid w:val="000A4568"/>
    <w:rsid w:val="000C0344"/>
    <w:rsid w:val="000E011F"/>
    <w:rsid w:val="000E3D1A"/>
    <w:rsid w:val="000F7977"/>
    <w:rsid w:val="00116717"/>
    <w:rsid w:val="00116B50"/>
    <w:rsid w:val="00130B69"/>
    <w:rsid w:val="001369E2"/>
    <w:rsid w:val="00142E6B"/>
    <w:rsid w:val="00145D24"/>
    <w:rsid w:val="001516EC"/>
    <w:rsid w:val="00154C33"/>
    <w:rsid w:val="00154E94"/>
    <w:rsid w:val="001606D5"/>
    <w:rsid w:val="00161913"/>
    <w:rsid w:val="001750EC"/>
    <w:rsid w:val="00176D9C"/>
    <w:rsid w:val="00177427"/>
    <w:rsid w:val="00183B00"/>
    <w:rsid w:val="0019762D"/>
    <w:rsid w:val="001A4D8F"/>
    <w:rsid w:val="001A6985"/>
    <w:rsid w:val="001A7844"/>
    <w:rsid w:val="001A79A8"/>
    <w:rsid w:val="001B2234"/>
    <w:rsid w:val="001B41BC"/>
    <w:rsid w:val="001C1320"/>
    <w:rsid w:val="001D2023"/>
    <w:rsid w:val="001D3441"/>
    <w:rsid w:val="001D70C6"/>
    <w:rsid w:val="001E7A28"/>
    <w:rsid w:val="00200937"/>
    <w:rsid w:val="00205113"/>
    <w:rsid w:val="00217A54"/>
    <w:rsid w:val="00224898"/>
    <w:rsid w:val="00225F33"/>
    <w:rsid w:val="00250701"/>
    <w:rsid w:val="00252987"/>
    <w:rsid w:val="00280723"/>
    <w:rsid w:val="0029036A"/>
    <w:rsid w:val="00295C9A"/>
    <w:rsid w:val="002B03AE"/>
    <w:rsid w:val="002C1148"/>
    <w:rsid w:val="002C2844"/>
    <w:rsid w:val="002D712F"/>
    <w:rsid w:val="002E1395"/>
    <w:rsid w:val="002F0333"/>
    <w:rsid w:val="00302436"/>
    <w:rsid w:val="00340A6A"/>
    <w:rsid w:val="00342339"/>
    <w:rsid w:val="00345920"/>
    <w:rsid w:val="00347CDC"/>
    <w:rsid w:val="00367411"/>
    <w:rsid w:val="00373CC9"/>
    <w:rsid w:val="00374E86"/>
    <w:rsid w:val="00382381"/>
    <w:rsid w:val="00387063"/>
    <w:rsid w:val="003A6F26"/>
    <w:rsid w:val="0040284F"/>
    <w:rsid w:val="00403F7B"/>
    <w:rsid w:val="004044F0"/>
    <w:rsid w:val="00406BD7"/>
    <w:rsid w:val="00410E19"/>
    <w:rsid w:val="0041371D"/>
    <w:rsid w:val="004210E8"/>
    <w:rsid w:val="0043613F"/>
    <w:rsid w:val="00445122"/>
    <w:rsid w:val="00445A80"/>
    <w:rsid w:val="004540A3"/>
    <w:rsid w:val="004713CA"/>
    <w:rsid w:val="00484B4D"/>
    <w:rsid w:val="004856A4"/>
    <w:rsid w:val="004A234C"/>
    <w:rsid w:val="004B508B"/>
    <w:rsid w:val="004C1DD1"/>
    <w:rsid w:val="00506C44"/>
    <w:rsid w:val="00507DB7"/>
    <w:rsid w:val="0051101E"/>
    <w:rsid w:val="00555B50"/>
    <w:rsid w:val="00560240"/>
    <w:rsid w:val="00561C08"/>
    <w:rsid w:val="00582A61"/>
    <w:rsid w:val="00593648"/>
    <w:rsid w:val="00596781"/>
    <w:rsid w:val="005974C1"/>
    <w:rsid w:val="005B745A"/>
    <w:rsid w:val="005E09BB"/>
    <w:rsid w:val="0060084B"/>
    <w:rsid w:val="00602E68"/>
    <w:rsid w:val="00621A15"/>
    <w:rsid w:val="00621F34"/>
    <w:rsid w:val="006347D9"/>
    <w:rsid w:val="0065311D"/>
    <w:rsid w:val="00661704"/>
    <w:rsid w:val="00663127"/>
    <w:rsid w:val="0067374C"/>
    <w:rsid w:val="00677052"/>
    <w:rsid w:val="00697CD8"/>
    <w:rsid w:val="006C4221"/>
    <w:rsid w:val="006D4ABA"/>
    <w:rsid w:val="006D5716"/>
    <w:rsid w:val="006E29B2"/>
    <w:rsid w:val="006F147D"/>
    <w:rsid w:val="00730749"/>
    <w:rsid w:val="007321D4"/>
    <w:rsid w:val="00734E4D"/>
    <w:rsid w:val="0073611D"/>
    <w:rsid w:val="00736ED7"/>
    <w:rsid w:val="00747FFC"/>
    <w:rsid w:val="007602F4"/>
    <w:rsid w:val="00764B84"/>
    <w:rsid w:val="007A4578"/>
    <w:rsid w:val="007B5085"/>
    <w:rsid w:val="007C40A4"/>
    <w:rsid w:val="007D0C0B"/>
    <w:rsid w:val="007F4034"/>
    <w:rsid w:val="00806D44"/>
    <w:rsid w:val="00821BF0"/>
    <w:rsid w:val="00826080"/>
    <w:rsid w:val="00836E1A"/>
    <w:rsid w:val="00837B99"/>
    <w:rsid w:val="00853A04"/>
    <w:rsid w:val="00856210"/>
    <w:rsid w:val="00863422"/>
    <w:rsid w:val="00873E0C"/>
    <w:rsid w:val="008945AA"/>
    <w:rsid w:val="0089702F"/>
    <w:rsid w:val="00897CC7"/>
    <w:rsid w:val="008A0253"/>
    <w:rsid w:val="008A4C07"/>
    <w:rsid w:val="008B0071"/>
    <w:rsid w:val="008B54A7"/>
    <w:rsid w:val="008D47F7"/>
    <w:rsid w:val="008E5916"/>
    <w:rsid w:val="008F1A1A"/>
    <w:rsid w:val="008F5840"/>
    <w:rsid w:val="00942E0A"/>
    <w:rsid w:val="0094607C"/>
    <w:rsid w:val="0095450D"/>
    <w:rsid w:val="00964D65"/>
    <w:rsid w:val="00966C72"/>
    <w:rsid w:val="00967DB6"/>
    <w:rsid w:val="00967F89"/>
    <w:rsid w:val="00973F3E"/>
    <w:rsid w:val="00994AAB"/>
    <w:rsid w:val="009D3A15"/>
    <w:rsid w:val="009D62FC"/>
    <w:rsid w:val="009E5AE0"/>
    <w:rsid w:val="009E636C"/>
    <w:rsid w:val="009F4432"/>
    <w:rsid w:val="009F79F9"/>
    <w:rsid w:val="00A05ACD"/>
    <w:rsid w:val="00A15392"/>
    <w:rsid w:val="00A20213"/>
    <w:rsid w:val="00A31702"/>
    <w:rsid w:val="00A328B1"/>
    <w:rsid w:val="00A50C17"/>
    <w:rsid w:val="00A548B1"/>
    <w:rsid w:val="00A601FA"/>
    <w:rsid w:val="00A61AC2"/>
    <w:rsid w:val="00A6279C"/>
    <w:rsid w:val="00A64A29"/>
    <w:rsid w:val="00A83ECF"/>
    <w:rsid w:val="00A8511F"/>
    <w:rsid w:val="00A9190D"/>
    <w:rsid w:val="00A9506F"/>
    <w:rsid w:val="00A95D5B"/>
    <w:rsid w:val="00AA3D3D"/>
    <w:rsid w:val="00AB5E80"/>
    <w:rsid w:val="00AC216E"/>
    <w:rsid w:val="00AC4911"/>
    <w:rsid w:val="00AD2667"/>
    <w:rsid w:val="00AE184E"/>
    <w:rsid w:val="00AE4F43"/>
    <w:rsid w:val="00AF34FA"/>
    <w:rsid w:val="00B062C2"/>
    <w:rsid w:val="00B11D26"/>
    <w:rsid w:val="00B150E6"/>
    <w:rsid w:val="00B21FF4"/>
    <w:rsid w:val="00B24A96"/>
    <w:rsid w:val="00B323DE"/>
    <w:rsid w:val="00B32AF3"/>
    <w:rsid w:val="00B342F5"/>
    <w:rsid w:val="00B34C1B"/>
    <w:rsid w:val="00B56318"/>
    <w:rsid w:val="00B6013A"/>
    <w:rsid w:val="00B61B92"/>
    <w:rsid w:val="00B6566C"/>
    <w:rsid w:val="00B72394"/>
    <w:rsid w:val="00B74574"/>
    <w:rsid w:val="00BB298F"/>
    <w:rsid w:val="00BB427A"/>
    <w:rsid w:val="00BB702D"/>
    <w:rsid w:val="00BD737C"/>
    <w:rsid w:val="00BE4C86"/>
    <w:rsid w:val="00C0376D"/>
    <w:rsid w:val="00C074F5"/>
    <w:rsid w:val="00C13FD3"/>
    <w:rsid w:val="00C14380"/>
    <w:rsid w:val="00C1556F"/>
    <w:rsid w:val="00C23FFA"/>
    <w:rsid w:val="00C30635"/>
    <w:rsid w:val="00C4055A"/>
    <w:rsid w:val="00C46AE2"/>
    <w:rsid w:val="00C46F9C"/>
    <w:rsid w:val="00C513AB"/>
    <w:rsid w:val="00C57F1F"/>
    <w:rsid w:val="00C61843"/>
    <w:rsid w:val="00C62473"/>
    <w:rsid w:val="00C64514"/>
    <w:rsid w:val="00C700DA"/>
    <w:rsid w:val="00C85A97"/>
    <w:rsid w:val="00C9338F"/>
    <w:rsid w:val="00C93A5E"/>
    <w:rsid w:val="00C97A77"/>
    <w:rsid w:val="00CA06B8"/>
    <w:rsid w:val="00CD42D0"/>
    <w:rsid w:val="00CF1AE9"/>
    <w:rsid w:val="00CF2A6A"/>
    <w:rsid w:val="00D05058"/>
    <w:rsid w:val="00D06B5C"/>
    <w:rsid w:val="00D1595E"/>
    <w:rsid w:val="00D222E5"/>
    <w:rsid w:val="00D36224"/>
    <w:rsid w:val="00D424F8"/>
    <w:rsid w:val="00D5108E"/>
    <w:rsid w:val="00D5349D"/>
    <w:rsid w:val="00D820AE"/>
    <w:rsid w:val="00D84B81"/>
    <w:rsid w:val="00D8722E"/>
    <w:rsid w:val="00D91F51"/>
    <w:rsid w:val="00D944AF"/>
    <w:rsid w:val="00DB7A22"/>
    <w:rsid w:val="00DC5707"/>
    <w:rsid w:val="00DC76C2"/>
    <w:rsid w:val="00DD0BC0"/>
    <w:rsid w:val="00DE3D89"/>
    <w:rsid w:val="00E15DAD"/>
    <w:rsid w:val="00E1648F"/>
    <w:rsid w:val="00E451EA"/>
    <w:rsid w:val="00E46CC8"/>
    <w:rsid w:val="00E471FF"/>
    <w:rsid w:val="00E50F23"/>
    <w:rsid w:val="00E629B1"/>
    <w:rsid w:val="00E655F2"/>
    <w:rsid w:val="00E75716"/>
    <w:rsid w:val="00E84C60"/>
    <w:rsid w:val="00E866B6"/>
    <w:rsid w:val="00E9442A"/>
    <w:rsid w:val="00EA2F9D"/>
    <w:rsid w:val="00EB66BF"/>
    <w:rsid w:val="00EC75B3"/>
    <w:rsid w:val="00EE0702"/>
    <w:rsid w:val="00EE6898"/>
    <w:rsid w:val="00EF04CB"/>
    <w:rsid w:val="00F021F4"/>
    <w:rsid w:val="00F1164E"/>
    <w:rsid w:val="00F1232C"/>
    <w:rsid w:val="00F1565E"/>
    <w:rsid w:val="00F3789C"/>
    <w:rsid w:val="00F51321"/>
    <w:rsid w:val="00F52B6B"/>
    <w:rsid w:val="00F56F78"/>
    <w:rsid w:val="00F64167"/>
    <w:rsid w:val="00F656D3"/>
    <w:rsid w:val="00F67E02"/>
    <w:rsid w:val="00F726DB"/>
    <w:rsid w:val="00F7421E"/>
    <w:rsid w:val="00F96559"/>
    <w:rsid w:val="00FC0CC1"/>
    <w:rsid w:val="00FD51C6"/>
    <w:rsid w:val="00FE3CE5"/>
    <w:rsid w:val="00FE4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93983"/>
  <w15:docId w15:val="{E3A145F2-642B-41C1-8B3D-56DE8395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it-IT"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02F"/>
    <w:pPr>
      <w:suppressAutoHyphens/>
    </w:pPr>
    <w:rPr>
      <w:rFonts w:eastAsia="Calibri" w:cs="Calibri"/>
      <w:color w:val="000000"/>
    </w:rPr>
  </w:style>
  <w:style w:type="paragraph" w:styleId="Heading1">
    <w:name w:val="heading 1"/>
    <w:next w:val="Normal"/>
    <w:uiPriority w:val="9"/>
    <w:qFormat/>
    <w:pPr>
      <w:keepNext/>
      <w:keepLines/>
      <w:suppressAutoHyphens/>
      <w:spacing w:after="98"/>
      <w:ind w:left="1"/>
      <w:jc w:val="center"/>
      <w:outlineLvl w:val="0"/>
    </w:pPr>
    <w:rPr>
      <w:rFonts w:eastAsia="Calibri" w:cs="Calibri"/>
      <w:b/>
      <w:color w:val="0070C0"/>
      <w:sz w:val="28"/>
    </w:rPr>
  </w:style>
  <w:style w:type="paragraph" w:styleId="Heading2">
    <w:name w:val="heading 2"/>
    <w:next w:val="Normal"/>
    <w:uiPriority w:val="9"/>
    <w:unhideWhenUsed/>
    <w:qFormat/>
    <w:pPr>
      <w:keepNext/>
      <w:keepLines/>
      <w:suppressAutoHyphens/>
      <w:spacing w:after="0"/>
      <w:ind w:left="2185" w:right="2397" w:hanging="315"/>
      <w:outlineLvl w:val="1"/>
    </w:pPr>
    <w:rPr>
      <w:rFonts w:eastAsia="Calibri" w:cs="Calibri"/>
      <w:b/>
      <w:color w:val="000000"/>
      <w:sz w:val="24"/>
    </w:rPr>
  </w:style>
  <w:style w:type="paragraph" w:styleId="Heading3">
    <w:name w:val="heading 3"/>
    <w:next w:val="Normal"/>
    <w:uiPriority w:val="9"/>
    <w:unhideWhenUsed/>
    <w:qFormat/>
    <w:pPr>
      <w:keepNext/>
      <w:keepLines/>
      <w:suppressAutoHyphens/>
      <w:spacing w:after="0"/>
      <w:ind w:left="3241" w:hanging="10"/>
      <w:outlineLvl w:val="2"/>
    </w:pPr>
    <w:rPr>
      <w:rFonts w:eastAsia="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olo3Carattere">
    <w:name w:val="Titolo 3 Carattere"/>
    <w:rPr>
      <w:rFonts w:ascii="Calibri" w:eastAsia="Calibri" w:hAnsi="Calibri" w:cs="Calibri"/>
      <w:b/>
      <w:color w:val="000000"/>
      <w:sz w:val="22"/>
    </w:rPr>
  </w:style>
  <w:style w:type="character" w:customStyle="1" w:styleId="Titolo1Carattere">
    <w:name w:val="Titolo 1 Carattere"/>
    <w:rPr>
      <w:rFonts w:ascii="Calibri" w:eastAsia="Calibri" w:hAnsi="Calibri" w:cs="Calibri"/>
      <w:b/>
      <w:color w:val="0070C0"/>
      <w:sz w:val="28"/>
    </w:rPr>
  </w:style>
  <w:style w:type="character" w:customStyle="1" w:styleId="Titolo2Carattere">
    <w:name w:val="Titolo 2 Carattere"/>
    <w:rPr>
      <w:rFonts w:ascii="Calibri" w:eastAsia="Calibri" w:hAnsi="Calibri" w:cs="Calibri"/>
      <w:b/>
      <w:color w:val="000000"/>
      <w:sz w:val="24"/>
    </w:rPr>
  </w:style>
  <w:style w:type="character" w:customStyle="1" w:styleId="jlqj4b">
    <w:name w:val="jlqj4b"/>
    <w:basedOn w:val="DefaultParagraphFont"/>
  </w:style>
  <w:style w:type="character" w:customStyle="1" w:styleId="viiyi">
    <w:name w:val="viiyi"/>
    <w:basedOn w:val="DefaultParagraphFont"/>
  </w:style>
  <w:style w:type="character" w:customStyle="1" w:styleId="apple-converted-space">
    <w:name w:val="apple-converted-space"/>
    <w:basedOn w:val="DefaultParagraphFont"/>
    <w:rsid w:val="00A31702"/>
  </w:style>
  <w:style w:type="paragraph" w:styleId="Header">
    <w:name w:val="header"/>
    <w:basedOn w:val="Normal"/>
    <w:link w:val="HeaderChar"/>
    <w:uiPriority w:val="99"/>
    <w:unhideWhenUsed/>
    <w:rsid w:val="00A31702"/>
    <w:pPr>
      <w:tabs>
        <w:tab w:val="center" w:pos="4819"/>
        <w:tab w:val="right" w:pos="9638"/>
      </w:tabs>
      <w:spacing w:after="0"/>
    </w:pPr>
  </w:style>
  <w:style w:type="character" w:customStyle="1" w:styleId="HeaderChar">
    <w:name w:val="Header Char"/>
    <w:basedOn w:val="DefaultParagraphFont"/>
    <w:link w:val="Header"/>
    <w:uiPriority w:val="99"/>
    <w:rsid w:val="00A31702"/>
    <w:rPr>
      <w:rFonts w:eastAsia="Calibri" w:cs="Calibri"/>
      <w:color w:val="000000"/>
    </w:rPr>
  </w:style>
  <w:style w:type="paragraph" w:styleId="Footer">
    <w:name w:val="footer"/>
    <w:basedOn w:val="Normal"/>
    <w:link w:val="FooterChar"/>
    <w:uiPriority w:val="99"/>
    <w:unhideWhenUsed/>
    <w:rsid w:val="00A31702"/>
    <w:pPr>
      <w:tabs>
        <w:tab w:val="center" w:pos="4819"/>
        <w:tab w:val="right" w:pos="9638"/>
      </w:tabs>
      <w:spacing w:after="0"/>
    </w:pPr>
  </w:style>
  <w:style w:type="character" w:customStyle="1" w:styleId="FooterChar">
    <w:name w:val="Footer Char"/>
    <w:basedOn w:val="DefaultParagraphFont"/>
    <w:link w:val="Footer"/>
    <w:uiPriority w:val="99"/>
    <w:rsid w:val="00A31702"/>
    <w:rPr>
      <w:rFonts w:eastAsia="Calibri" w:cs="Calibri"/>
      <w:color w:val="000000"/>
    </w:rPr>
  </w:style>
  <w:style w:type="character" w:styleId="Hyperlink">
    <w:name w:val="Hyperlink"/>
    <w:basedOn w:val="DefaultParagraphFont"/>
    <w:uiPriority w:val="99"/>
    <w:unhideWhenUsed/>
    <w:rsid w:val="00C074F5"/>
    <w:rPr>
      <w:color w:val="0563C1" w:themeColor="hyperlink"/>
      <w:u w:val="single"/>
    </w:rPr>
  </w:style>
  <w:style w:type="character" w:customStyle="1" w:styleId="UnresolvedMention">
    <w:name w:val="Unresolved Mention"/>
    <w:basedOn w:val="DefaultParagraphFont"/>
    <w:uiPriority w:val="99"/>
    <w:semiHidden/>
    <w:unhideWhenUsed/>
    <w:rsid w:val="00C074F5"/>
    <w:rPr>
      <w:color w:val="605E5C"/>
      <w:shd w:val="clear" w:color="auto" w:fill="E1DFDD"/>
    </w:rPr>
  </w:style>
  <w:style w:type="character" w:styleId="CommentReference">
    <w:name w:val="annotation reference"/>
    <w:basedOn w:val="DefaultParagraphFont"/>
    <w:uiPriority w:val="99"/>
    <w:semiHidden/>
    <w:unhideWhenUsed/>
    <w:rsid w:val="007B5085"/>
    <w:rPr>
      <w:sz w:val="16"/>
      <w:szCs w:val="16"/>
    </w:rPr>
  </w:style>
  <w:style w:type="paragraph" w:styleId="CommentText">
    <w:name w:val="annotation text"/>
    <w:basedOn w:val="Normal"/>
    <w:link w:val="CommentTextChar"/>
    <w:uiPriority w:val="99"/>
    <w:semiHidden/>
    <w:unhideWhenUsed/>
    <w:rsid w:val="007B5085"/>
    <w:rPr>
      <w:sz w:val="20"/>
      <w:szCs w:val="20"/>
    </w:rPr>
  </w:style>
  <w:style w:type="character" w:customStyle="1" w:styleId="CommentTextChar">
    <w:name w:val="Comment Text Char"/>
    <w:basedOn w:val="DefaultParagraphFont"/>
    <w:link w:val="CommentText"/>
    <w:uiPriority w:val="99"/>
    <w:semiHidden/>
    <w:rsid w:val="007B5085"/>
    <w:rPr>
      <w:rFonts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B5085"/>
    <w:rPr>
      <w:b/>
      <w:bCs/>
    </w:rPr>
  </w:style>
  <w:style w:type="character" w:customStyle="1" w:styleId="CommentSubjectChar">
    <w:name w:val="Comment Subject Char"/>
    <w:basedOn w:val="CommentTextChar"/>
    <w:link w:val="CommentSubject"/>
    <w:uiPriority w:val="99"/>
    <w:semiHidden/>
    <w:rsid w:val="007B5085"/>
    <w:rPr>
      <w:rFonts w:eastAsia="Calibri" w:cs="Calibri"/>
      <w:b/>
      <w:bCs/>
      <w:color w:val="000000"/>
      <w:sz w:val="20"/>
      <w:szCs w:val="20"/>
    </w:rPr>
  </w:style>
  <w:style w:type="paragraph" w:styleId="BalloonText">
    <w:name w:val="Balloon Text"/>
    <w:basedOn w:val="Normal"/>
    <w:link w:val="BalloonTextChar"/>
    <w:uiPriority w:val="99"/>
    <w:semiHidden/>
    <w:unhideWhenUsed/>
    <w:rsid w:val="007B50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085"/>
    <w:rPr>
      <w:rFonts w:ascii="Segoe UI" w:eastAsia="Calibri" w:hAnsi="Segoe UI" w:cs="Segoe UI"/>
      <w:color w:val="000000"/>
      <w:sz w:val="18"/>
      <w:szCs w:val="18"/>
    </w:rPr>
  </w:style>
  <w:style w:type="paragraph" w:styleId="NormalWeb">
    <w:name w:val="Normal (Web)"/>
    <w:basedOn w:val="Normal"/>
    <w:uiPriority w:val="99"/>
    <w:unhideWhenUsed/>
    <w:rsid w:val="001369E2"/>
    <w:pPr>
      <w:suppressAutoHyphens w:val="0"/>
      <w:autoSpaceDN/>
      <w:spacing w:before="100" w:beforeAutospacing="1" w:after="100" w:afterAutospacing="1"/>
      <w:textAlignment w:val="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B66BF"/>
    <w:pPr>
      <w:ind w:left="720"/>
      <w:contextualSpacing/>
    </w:pPr>
  </w:style>
  <w:style w:type="character" w:styleId="FollowedHyperlink">
    <w:name w:val="FollowedHyperlink"/>
    <w:basedOn w:val="DefaultParagraphFont"/>
    <w:uiPriority w:val="99"/>
    <w:semiHidden/>
    <w:unhideWhenUsed/>
    <w:rsid w:val="00EB66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5470">
      <w:bodyDiv w:val="1"/>
      <w:marLeft w:val="0"/>
      <w:marRight w:val="0"/>
      <w:marTop w:val="0"/>
      <w:marBottom w:val="0"/>
      <w:divBdr>
        <w:top w:val="none" w:sz="0" w:space="0" w:color="auto"/>
        <w:left w:val="none" w:sz="0" w:space="0" w:color="auto"/>
        <w:bottom w:val="none" w:sz="0" w:space="0" w:color="auto"/>
        <w:right w:val="none" w:sz="0" w:space="0" w:color="auto"/>
      </w:divBdr>
    </w:div>
    <w:div w:id="215943534">
      <w:bodyDiv w:val="1"/>
      <w:marLeft w:val="0"/>
      <w:marRight w:val="0"/>
      <w:marTop w:val="0"/>
      <w:marBottom w:val="0"/>
      <w:divBdr>
        <w:top w:val="none" w:sz="0" w:space="0" w:color="auto"/>
        <w:left w:val="none" w:sz="0" w:space="0" w:color="auto"/>
        <w:bottom w:val="none" w:sz="0" w:space="0" w:color="auto"/>
        <w:right w:val="none" w:sz="0" w:space="0" w:color="auto"/>
      </w:divBdr>
      <w:divsChild>
        <w:div w:id="1093282429">
          <w:marLeft w:val="0"/>
          <w:marRight w:val="0"/>
          <w:marTop w:val="0"/>
          <w:marBottom w:val="0"/>
          <w:divBdr>
            <w:top w:val="none" w:sz="0" w:space="0" w:color="auto"/>
            <w:left w:val="none" w:sz="0" w:space="0" w:color="auto"/>
            <w:bottom w:val="none" w:sz="0" w:space="0" w:color="auto"/>
            <w:right w:val="none" w:sz="0" w:space="0" w:color="auto"/>
          </w:divBdr>
        </w:div>
      </w:divsChild>
    </w:div>
    <w:div w:id="389888942">
      <w:bodyDiv w:val="1"/>
      <w:marLeft w:val="0"/>
      <w:marRight w:val="0"/>
      <w:marTop w:val="0"/>
      <w:marBottom w:val="0"/>
      <w:divBdr>
        <w:top w:val="none" w:sz="0" w:space="0" w:color="auto"/>
        <w:left w:val="none" w:sz="0" w:space="0" w:color="auto"/>
        <w:bottom w:val="none" w:sz="0" w:space="0" w:color="auto"/>
        <w:right w:val="none" w:sz="0" w:space="0" w:color="auto"/>
      </w:divBdr>
    </w:div>
    <w:div w:id="409279900">
      <w:bodyDiv w:val="1"/>
      <w:marLeft w:val="0"/>
      <w:marRight w:val="0"/>
      <w:marTop w:val="0"/>
      <w:marBottom w:val="0"/>
      <w:divBdr>
        <w:top w:val="none" w:sz="0" w:space="0" w:color="auto"/>
        <w:left w:val="none" w:sz="0" w:space="0" w:color="auto"/>
        <w:bottom w:val="none" w:sz="0" w:space="0" w:color="auto"/>
        <w:right w:val="none" w:sz="0" w:space="0" w:color="auto"/>
      </w:divBdr>
      <w:divsChild>
        <w:div w:id="437525286">
          <w:marLeft w:val="0"/>
          <w:marRight w:val="0"/>
          <w:marTop w:val="0"/>
          <w:marBottom w:val="0"/>
          <w:divBdr>
            <w:top w:val="none" w:sz="0" w:space="0" w:color="auto"/>
            <w:left w:val="none" w:sz="0" w:space="0" w:color="auto"/>
            <w:bottom w:val="none" w:sz="0" w:space="0" w:color="auto"/>
            <w:right w:val="none" w:sz="0" w:space="0" w:color="auto"/>
          </w:divBdr>
        </w:div>
      </w:divsChild>
    </w:div>
    <w:div w:id="447552394">
      <w:bodyDiv w:val="1"/>
      <w:marLeft w:val="0"/>
      <w:marRight w:val="0"/>
      <w:marTop w:val="0"/>
      <w:marBottom w:val="0"/>
      <w:divBdr>
        <w:top w:val="none" w:sz="0" w:space="0" w:color="auto"/>
        <w:left w:val="none" w:sz="0" w:space="0" w:color="auto"/>
        <w:bottom w:val="none" w:sz="0" w:space="0" w:color="auto"/>
        <w:right w:val="none" w:sz="0" w:space="0" w:color="auto"/>
      </w:divBdr>
    </w:div>
    <w:div w:id="505831495">
      <w:bodyDiv w:val="1"/>
      <w:marLeft w:val="0"/>
      <w:marRight w:val="0"/>
      <w:marTop w:val="0"/>
      <w:marBottom w:val="0"/>
      <w:divBdr>
        <w:top w:val="none" w:sz="0" w:space="0" w:color="auto"/>
        <w:left w:val="none" w:sz="0" w:space="0" w:color="auto"/>
        <w:bottom w:val="none" w:sz="0" w:space="0" w:color="auto"/>
        <w:right w:val="none" w:sz="0" w:space="0" w:color="auto"/>
      </w:divBdr>
    </w:div>
    <w:div w:id="519045824">
      <w:bodyDiv w:val="1"/>
      <w:marLeft w:val="0"/>
      <w:marRight w:val="0"/>
      <w:marTop w:val="0"/>
      <w:marBottom w:val="0"/>
      <w:divBdr>
        <w:top w:val="none" w:sz="0" w:space="0" w:color="auto"/>
        <w:left w:val="none" w:sz="0" w:space="0" w:color="auto"/>
        <w:bottom w:val="none" w:sz="0" w:space="0" w:color="auto"/>
        <w:right w:val="none" w:sz="0" w:space="0" w:color="auto"/>
      </w:divBdr>
    </w:div>
    <w:div w:id="614403754">
      <w:bodyDiv w:val="1"/>
      <w:marLeft w:val="0"/>
      <w:marRight w:val="0"/>
      <w:marTop w:val="0"/>
      <w:marBottom w:val="0"/>
      <w:divBdr>
        <w:top w:val="none" w:sz="0" w:space="0" w:color="auto"/>
        <w:left w:val="none" w:sz="0" w:space="0" w:color="auto"/>
        <w:bottom w:val="none" w:sz="0" w:space="0" w:color="auto"/>
        <w:right w:val="none" w:sz="0" w:space="0" w:color="auto"/>
      </w:divBdr>
    </w:div>
    <w:div w:id="652415951">
      <w:bodyDiv w:val="1"/>
      <w:marLeft w:val="0"/>
      <w:marRight w:val="0"/>
      <w:marTop w:val="0"/>
      <w:marBottom w:val="0"/>
      <w:divBdr>
        <w:top w:val="none" w:sz="0" w:space="0" w:color="auto"/>
        <w:left w:val="none" w:sz="0" w:space="0" w:color="auto"/>
        <w:bottom w:val="none" w:sz="0" w:space="0" w:color="auto"/>
        <w:right w:val="none" w:sz="0" w:space="0" w:color="auto"/>
      </w:divBdr>
    </w:div>
    <w:div w:id="797068811">
      <w:bodyDiv w:val="1"/>
      <w:marLeft w:val="0"/>
      <w:marRight w:val="0"/>
      <w:marTop w:val="0"/>
      <w:marBottom w:val="0"/>
      <w:divBdr>
        <w:top w:val="none" w:sz="0" w:space="0" w:color="auto"/>
        <w:left w:val="none" w:sz="0" w:space="0" w:color="auto"/>
        <w:bottom w:val="none" w:sz="0" w:space="0" w:color="auto"/>
        <w:right w:val="none" w:sz="0" w:space="0" w:color="auto"/>
      </w:divBdr>
      <w:divsChild>
        <w:div w:id="1408772160">
          <w:marLeft w:val="0"/>
          <w:marRight w:val="0"/>
          <w:marTop w:val="0"/>
          <w:marBottom w:val="0"/>
          <w:divBdr>
            <w:top w:val="none" w:sz="0" w:space="0" w:color="auto"/>
            <w:left w:val="none" w:sz="0" w:space="0" w:color="auto"/>
            <w:bottom w:val="none" w:sz="0" w:space="0" w:color="auto"/>
            <w:right w:val="none" w:sz="0" w:space="0" w:color="auto"/>
          </w:divBdr>
        </w:div>
      </w:divsChild>
    </w:div>
    <w:div w:id="858587564">
      <w:bodyDiv w:val="1"/>
      <w:marLeft w:val="0"/>
      <w:marRight w:val="0"/>
      <w:marTop w:val="0"/>
      <w:marBottom w:val="0"/>
      <w:divBdr>
        <w:top w:val="none" w:sz="0" w:space="0" w:color="auto"/>
        <w:left w:val="none" w:sz="0" w:space="0" w:color="auto"/>
        <w:bottom w:val="none" w:sz="0" w:space="0" w:color="auto"/>
        <w:right w:val="none" w:sz="0" w:space="0" w:color="auto"/>
      </w:divBdr>
    </w:div>
    <w:div w:id="882863926">
      <w:bodyDiv w:val="1"/>
      <w:marLeft w:val="0"/>
      <w:marRight w:val="0"/>
      <w:marTop w:val="0"/>
      <w:marBottom w:val="0"/>
      <w:divBdr>
        <w:top w:val="none" w:sz="0" w:space="0" w:color="auto"/>
        <w:left w:val="none" w:sz="0" w:space="0" w:color="auto"/>
        <w:bottom w:val="none" w:sz="0" w:space="0" w:color="auto"/>
        <w:right w:val="none" w:sz="0" w:space="0" w:color="auto"/>
      </w:divBdr>
    </w:div>
    <w:div w:id="1431513574">
      <w:bodyDiv w:val="1"/>
      <w:marLeft w:val="0"/>
      <w:marRight w:val="0"/>
      <w:marTop w:val="0"/>
      <w:marBottom w:val="0"/>
      <w:divBdr>
        <w:top w:val="none" w:sz="0" w:space="0" w:color="auto"/>
        <w:left w:val="none" w:sz="0" w:space="0" w:color="auto"/>
        <w:bottom w:val="none" w:sz="0" w:space="0" w:color="auto"/>
        <w:right w:val="none" w:sz="0" w:space="0" w:color="auto"/>
      </w:divBdr>
      <w:divsChild>
        <w:div w:id="1436974431">
          <w:marLeft w:val="0"/>
          <w:marRight w:val="0"/>
          <w:marTop w:val="0"/>
          <w:marBottom w:val="360"/>
          <w:divBdr>
            <w:top w:val="none" w:sz="0" w:space="0" w:color="auto"/>
            <w:left w:val="none" w:sz="0" w:space="0" w:color="auto"/>
            <w:bottom w:val="none" w:sz="0" w:space="0" w:color="auto"/>
            <w:right w:val="none" w:sz="0" w:space="0" w:color="auto"/>
          </w:divBdr>
        </w:div>
        <w:div w:id="1921213856">
          <w:marLeft w:val="0"/>
          <w:marRight w:val="0"/>
          <w:marTop w:val="0"/>
          <w:marBottom w:val="0"/>
          <w:divBdr>
            <w:top w:val="none" w:sz="0" w:space="0" w:color="auto"/>
            <w:left w:val="none" w:sz="0" w:space="0" w:color="auto"/>
            <w:bottom w:val="none" w:sz="0" w:space="0" w:color="auto"/>
            <w:right w:val="none" w:sz="0" w:space="0" w:color="auto"/>
          </w:divBdr>
          <w:divsChild>
            <w:div w:id="2117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530">
      <w:bodyDiv w:val="1"/>
      <w:marLeft w:val="0"/>
      <w:marRight w:val="0"/>
      <w:marTop w:val="0"/>
      <w:marBottom w:val="0"/>
      <w:divBdr>
        <w:top w:val="none" w:sz="0" w:space="0" w:color="auto"/>
        <w:left w:val="none" w:sz="0" w:space="0" w:color="auto"/>
        <w:bottom w:val="none" w:sz="0" w:space="0" w:color="auto"/>
        <w:right w:val="none" w:sz="0" w:space="0" w:color="auto"/>
      </w:divBdr>
    </w:div>
    <w:div w:id="1690524534">
      <w:bodyDiv w:val="1"/>
      <w:marLeft w:val="0"/>
      <w:marRight w:val="0"/>
      <w:marTop w:val="0"/>
      <w:marBottom w:val="0"/>
      <w:divBdr>
        <w:top w:val="none" w:sz="0" w:space="0" w:color="auto"/>
        <w:left w:val="none" w:sz="0" w:space="0" w:color="auto"/>
        <w:bottom w:val="none" w:sz="0" w:space="0" w:color="auto"/>
        <w:right w:val="none" w:sz="0" w:space="0" w:color="auto"/>
      </w:divBdr>
    </w:div>
    <w:div w:id="1789928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edu/policies/credit-assignment-to-academic-courses/" TargetMode="External"/><Relationship Id="rId13" Type="http://schemas.openxmlformats.org/officeDocument/2006/relationships/hyperlink" Target="https://doi.org/10.1016/j.isprsjprs.2015.10.004" TargetMode="External"/><Relationship Id="rId18" Type="http://schemas.openxmlformats.org/officeDocument/2006/relationships/hyperlink" Target="https://doi.org/10.1109/TII.2020.300391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rovost.illinois.edu/policies/policies/courses/credit-hour-definition/assigning-credit-hours/" TargetMode="External"/><Relationship Id="rId12" Type="http://schemas.openxmlformats.org/officeDocument/2006/relationships/hyperlink" Target="https://doi.org/10.1016/j.scitotenv.2022.153559" TargetMode="External"/><Relationship Id="rId17" Type="http://schemas.openxmlformats.org/officeDocument/2006/relationships/hyperlink" Target="https://doi.org/10.1016/j.animal.2021.100429" TargetMode="External"/><Relationship Id="rId2" Type="http://schemas.openxmlformats.org/officeDocument/2006/relationships/styles" Target="styles.xml"/><Relationship Id="rId16" Type="http://schemas.openxmlformats.org/officeDocument/2006/relationships/hyperlink" Target="https://doi.org/10.3390/ani100406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90/land9010028" TargetMode="External"/><Relationship Id="rId5" Type="http://schemas.openxmlformats.org/officeDocument/2006/relationships/footnotes" Target="footnotes.xml"/><Relationship Id="rId15" Type="http://schemas.openxmlformats.org/officeDocument/2006/relationships/hyperlink" Target="http://nzjf.org.nz/abstract.php?volume_issue=j62_1&amp;first_page=23" TargetMode="External"/><Relationship Id="rId10" Type="http://schemas.openxmlformats.org/officeDocument/2006/relationships/hyperlink" Target="https://www.unco.edu/center-enhancement-teaching-learning/pdf/assessment/program-curriculum-mapping-quick-guide.pdf" TargetMode="External"/><Relationship Id="rId19" Type="http://schemas.openxmlformats.org/officeDocument/2006/relationships/hyperlink" Target="https://doi.org/10.1177/1178622120934441" TargetMode="External"/><Relationship Id="rId4" Type="http://schemas.openxmlformats.org/officeDocument/2006/relationships/webSettings" Target="webSettings.xml"/><Relationship Id="rId9" Type="http://schemas.openxmlformats.org/officeDocument/2006/relationships/hyperlink" Target="https://www.eur.nl/sites/corporate/files/15_Studielastberekening_juli_2007_ENd.pdf" TargetMode="External"/><Relationship Id="rId14" Type="http://schemas.openxmlformats.org/officeDocument/2006/relationships/hyperlink" Target="https://doi.org/10.1007/s10530-016-1367-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1063</Words>
  <Characters>6170</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Raul Sampaio de Lima</cp:lastModifiedBy>
  <cp:revision>13</cp:revision>
  <dcterms:created xsi:type="dcterms:W3CDTF">2023-05-02T13:11:00Z</dcterms:created>
  <dcterms:modified xsi:type="dcterms:W3CDTF">2023-05-10T06:26:00Z</dcterms:modified>
</cp:coreProperties>
</file>