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B70A" w14:textId="77777777" w:rsidR="008B2809" w:rsidRPr="003C612F" w:rsidRDefault="008B2809" w:rsidP="008B2809">
      <w:pPr>
        <w:rPr>
          <w:rFonts w:asciiTheme="minorHAnsi" w:hAnsiTheme="minorHAnsi"/>
          <w:b/>
          <w:szCs w:val="20"/>
          <w:lang w:val="en-GB"/>
        </w:rPr>
      </w:pPr>
    </w:p>
    <w:p w14:paraId="4277ED0C" w14:textId="77777777" w:rsidR="008B2809" w:rsidRPr="008B2809" w:rsidRDefault="008B2809" w:rsidP="008B2809">
      <w:pPr>
        <w:rPr>
          <w:rFonts w:asciiTheme="minorHAnsi" w:hAnsiTheme="minorHAnsi"/>
          <w:b/>
          <w:sz w:val="24"/>
          <w:lang w:val="en-GB"/>
        </w:rPr>
      </w:pPr>
      <w:r w:rsidRPr="008B2809">
        <w:rPr>
          <w:rFonts w:asciiTheme="minorHAnsi" w:hAnsiTheme="minorHAnsi"/>
          <w:b/>
          <w:sz w:val="24"/>
          <w:lang w:val="en-GB"/>
        </w:rPr>
        <w:t>Course Name: Urban Agriculture</w:t>
      </w:r>
    </w:p>
    <w:p w14:paraId="0DCDCD37" w14:textId="77777777" w:rsidR="008B2809" w:rsidRPr="008B2809" w:rsidRDefault="008B2809" w:rsidP="008B2809">
      <w:pPr>
        <w:rPr>
          <w:rFonts w:asciiTheme="minorHAnsi" w:hAnsiTheme="minorHAnsi"/>
          <w:b/>
          <w:sz w:val="24"/>
          <w:lang w:val="en-GB"/>
        </w:rPr>
      </w:pPr>
      <w:r w:rsidRPr="008B2809">
        <w:rPr>
          <w:rFonts w:asciiTheme="minorHAnsi" w:hAnsiTheme="minorHAnsi"/>
          <w:b/>
          <w:sz w:val="24"/>
          <w:lang w:val="en-GB"/>
        </w:rPr>
        <w:t>Number of credits: 2 ECTS</w:t>
      </w:r>
    </w:p>
    <w:p w14:paraId="2B466104" w14:textId="77777777" w:rsidR="008B2809" w:rsidRPr="008B2809" w:rsidRDefault="008B2809" w:rsidP="008B2809">
      <w:pPr>
        <w:rPr>
          <w:rFonts w:asciiTheme="minorHAnsi" w:hAnsiTheme="minorHAnsi" w:cs="Tahoma"/>
          <w:b/>
          <w:sz w:val="24"/>
          <w:lang w:val="en-US"/>
        </w:rPr>
      </w:pPr>
    </w:p>
    <w:p w14:paraId="4604AC79" w14:textId="77777777" w:rsidR="008B2809" w:rsidRPr="008B2809" w:rsidRDefault="008B2809" w:rsidP="008B2809">
      <w:pPr>
        <w:rPr>
          <w:rFonts w:asciiTheme="minorHAnsi" w:hAnsiTheme="minorHAnsi"/>
          <w:b/>
          <w:sz w:val="24"/>
          <w:lang w:val="en-US"/>
        </w:rPr>
      </w:pPr>
      <w:r w:rsidRPr="008B2809">
        <w:rPr>
          <w:rFonts w:asciiTheme="minorHAnsi" w:hAnsiTheme="minorHAnsi"/>
          <w:b/>
          <w:sz w:val="24"/>
          <w:lang w:val="en-US"/>
        </w:rPr>
        <w:t>Period: Fall/spring semester (Ask Swati ma’am)</w:t>
      </w:r>
    </w:p>
    <w:p w14:paraId="3C596584" w14:textId="77777777" w:rsidR="008B2809" w:rsidRPr="008B2809" w:rsidRDefault="008B2809" w:rsidP="008B2809">
      <w:pPr>
        <w:rPr>
          <w:rFonts w:asciiTheme="minorHAnsi" w:hAnsiTheme="minorHAnsi"/>
          <w:b/>
          <w:sz w:val="24"/>
          <w:lang w:val="en-US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1950"/>
        <w:gridCol w:w="7135"/>
      </w:tblGrid>
      <w:tr w:rsidR="008B2809" w:rsidRPr="008B2809" w14:paraId="11EB811D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3E56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Coordinator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4ABA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GB"/>
              </w:rPr>
              <w:t>Prof. Aditi Mali</w:t>
            </w:r>
          </w:p>
        </w:tc>
      </w:tr>
      <w:tr w:rsidR="008B2809" w:rsidRPr="008B2809" w14:paraId="3F1A557B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EA36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Credits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E7B2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2 ECT</w:t>
            </w:r>
          </w:p>
        </w:tc>
      </w:tr>
      <w:tr w:rsidR="008B2809" w:rsidRPr="008B2809" w14:paraId="02340F5D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23E6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Lecturers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350E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US"/>
              </w:rPr>
              <w:t>Prof. Aditi Mali</w:t>
            </w:r>
          </w:p>
        </w:tc>
      </w:tr>
      <w:tr w:rsidR="008B2809" w:rsidRPr="008B2809" w14:paraId="4A5AA96D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1BE2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Level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7BD0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Online course open for all</w:t>
            </w:r>
          </w:p>
        </w:tc>
      </w:tr>
      <w:tr w:rsidR="008B2809" w:rsidRPr="008B2809" w14:paraId="3FBF88DA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8814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Host institution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13B3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Nirma University</w:t>
            </w:r>
          </w:p>
        </w:tc>
      </w:tr>
      <w:tr w:rsidR="008B2809" w:rsidRPr="008B2809" w14:paraId="23988122" w14:textId="77777777" w:rsidTr="00E52E6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F055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Course duration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BE41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Cs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bCs/>
                <w:sz w:val="24"/>
                <w:lang w:val="en-US"/>
              </w:rPr>
              <w:t>14 Days</w:t>
            </w:r>
          </w:p>
        </w:tc>
      </w:tr>
    </w:tbl>
    <w:p w14:paraId="2C9EADB3" w14:textId="77777777" w:rsidR="008B2809" w:rsidRPr="008B2809" w:rsidRDefault="008B2809" w:rsidP="008B2809">
      <w:pPr>
        <w:keepNext/>
        <w:spacing w:after="240"/>
        <w:ind w:left="720"/>
        <w:outlineLvl w:val="2"/>
        <w:rPr>
          <w:rFonts w:asciiTheme="minorHAnsi" w:hAnsiTheme="minorHAnsi"/>
          <w:sz w:val="24"/>
          <w:u w:val="single"/>
          <w:lang w:val="en-GB"/>
        </w:rPr>
      </w:pPr>
    </w:p>
    <w:p w14:paraId="5E7A7648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  <w:lang w:val="ru-RU"/>
        </w:rPr>
      </w:pPr>
      <w:r w:rsidRPr="008B2809">
        <w:rPr>
          <w:rFonts w:asciiTheme="minorHAnsi" w:hAnsiTheme="minorHAnsi"/>
          <w:b/>
          <w:bCs/>
          <w:sz w:val="24"/>
        </w:rPr>
        <w:t>Summary</w:t>
      </w:r>
    </w:p>
    <w:p w14:paraId="1B188239" w14:textId="3B33963A" w:rsidR="008B2809" w:rsidRPr="008B2809" w:rsidRDefault="008B2809" w:rsidP="008B2809">
      <w:pPr>
        <w:spacing w:after="120"/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i/>
          <w:sz w:val="24"/>
          <w:lang w:val="en-GB"/>
        </w:rPr>
        <w:t>This 2 ECTS course will be taught by Prof. Aditi Mali online. This course is for any habitat building student</w:t>
      </w:r>
      <w:r>
        <w:rPr>
          <w:rFonts w:asciiTheme="minorHAnsi" w:hAnsiTheme="minorHAnsi"/>
          <w:i/>
          <w:sz w:val="24"/>
          <w:lang w:val="en-GB"/>
        </w:rPr>
        <w:t>s</w:t>
      </w:r>
      <w:r w:rsidRPr="008B2809">
        <w:rPr>
          <w:rFonts w:asciiTheme="minorHAnsi" w:hAnsiTheme="minorHAnsi"/>
          <w:i/>
          <w:sz w:val="24"/>
          <w:lang w:val="en-GB"/>
        </w:rPr>
        <w:t xml:space="preserve"> or professional</w:t>
      </w:r>
      <w:r>
        <w:rPr>
          <w:rFonts w:asciiTheme="minorHAnsi" w:hAnsiTheme="minorHAnsi"/>
          <w:i/>
          <w:sz w:val="24"/>
          <w:lang w:val="en-GB"/>
        </w:rPr>
        <w:t>s</w:t>
      </w:r>
      <w:r w:rsidRPr="008B2809">
        <w:rPr>
          <w:rFonts w:asciiTheme="minorHAnsi" w:hAnsiTheme="minorHAnsi"/>
          <w:i/>
          <w:sz w:val="24"/>
          <w:lang w:val="en-GB"/>
        </w:rPr>
        <w:t xml:space="preserve"> like </w:t>
      </w:r>
      <w:r>
        <w:rPr>
          <w:rFonts w:asciiTheme="minorHAnsi" w:hAnsiTheme="minorHAnsi"/>
          <w:i/>
          <w:sz w:val="24"/>
          <w:lang w:val="en-GB"/>
        </w:rPr>
        <w:t>architects</w:t>
      </w:r>
      <w:r w:rsidRPr="008B2809">
        <w:rPr>
          <w:rFonts w:asciiTheme="minorHAnsi" w:hAnsiTheme="minorHAnsi"/>
          <w:i/>
          <w:sz w:val="24"/>
          <w:lang w:val="en-GB"/>
        </w:rPr>
        <w:t xml:space="preserve">, urban </w:t>
      </w:r>
      <w:r>
        <w:rPr>
          <w:rFonts w:asciiTheme="minorHAnsi" w:hAnsiTheme="minorHAnsi"/>
          <w:i/>
          <w:sz w:val="24"/>
          <w:lang w:val="en-GB"/>
        </w:rPr>
        <w:t>planners</w:t>
      </w:r>
      <w:r w:rsidRPr="008B2809">
        <w:rPr>
          <w:rFonts w:asciiTheme="minorHAnsi" w:hAnsiTheme="minorHAnsi"/>
          <w:i/>
          <w:sz w:val="24"/>
          <w:lang w:val="en-GB"/>
        </w:rPr>
        <w:t xml:space="preserve">, civil </w:t>
      </w:r>
      <w:r>
        <w:rPr>
          <w:rFonts w:asciiTheme="minorHAnsi" w:hAnsiTheme="minorHAnsi"/>
          <w:i/>
          <w:sz w:val="24"/>
          <w:lang w:val="en-GB"/>
        </w:rPr>
        <w:t>engineers</w:t>
      </w:r>
      <w:r w:rsidRPr="008B2809">
        <w:rPr>
          <w:rFonts w:asciiTheme="minorHAnsi" w:hAnsiTheme="minorHAnsi"/>
          <w:i/>
          <w:sz w:val="24"/>
          <w:lang w:val="en-GB"/>
        </w:rPr>
        <w:t xml:space="preserve">, interior </w:t>
      </w:r>
      <w:r>
        <w:rPr>
          <w:rFonts w:asciiTheme="minorHAnsi" w:hAnsiTheme="minorHAnsi"/>
          <w:i/>
          <w:sz w:val="24"/>
          <w:lang w:val="en-GB"/>
        </w:rPr>
        <w:t>designers</w:t>
      </w:r>
      <w:r w:rsidRPr="008B2809">
        <w:rPr>
          <w:rFonts w:asciiTheme="minorHAnsi" w:hAnsiTheme="minorHAnsi"/>
          <w:i/>
          <w:sz w:val="24"/>
          <w:lang w:val="en-GB"/>
        </w:rPr>
        <w:t xml:space="preserve">, urban </w:t>
      </w:r>
      <w:r>
        <w:rPr>
          <w:rFonts w:asciiTheme="minorHAnsi" w:hAnsiTheme="minorHAnsi"/>
          <w:i/>
          <w:sz w:val="24"/>
          <w:lang w:val="en-GB"/>
        </w:rPr>
        <w:t>designers</w:t>
      </w:r>
      <w:r w:rsidRPr="008B2809">
        <w:rPr>
          <w:rFonts w:asciiTheme="minorHAnsi" w:hAnsiTheme="minorHAnsi"/>
          <w:i/>
          <w:sz w:val="24"/>
          <w:lang w:val="en-GB"/>
        </w:rPr>
        <w:t xml:space="preserve"> and more. This course will introduce the concepts, benefits and practical uses of urban agriculture to create more resilient cities and settlements. The students will learn and have a </w:t>
      </w:r>
      <w:r>
        <w:rPr>
          <w:rFonts w:asciiTheme="minorHAnsi" w:hAnsiTheme="minorHAnsi"/>
          <w:i/>
          <w:sz w:val="24"/>
          <w:lang w:val="en-GB"/>
        </w:rPr>
        <w:t>hands-on</w:t>
      </w:r>
      <w:r w:rsidRPr="008B2809">
        <w:rPr>
          <w:rFonts w:asciiTheme="minorHAnsi" w:hAnsiTheme="minorHAnsi"/>
          <w:i/>
          <w:sz w:val="24"/>
          <w:lang w:val="en-GB"/>
        </w:rPr>
        <w:t xml:space="preserve"> with one of the most impactful climate change and food security mitigation approaches by exploring their own neighbourhoods and giving solutions for a better tomorrow! Grow Local, Eat Local.</w:t>
      </w:r>
    </w:p>
    <w:p w14:paraId="164884EC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Target student audiences</w:t>
      </w:r>
    </w:p>
    <w:p w14:paraId="77201EC2" w14:textId="77777777" w:rsidR="008B2809" w:rsidRPr="008B2809" w:rsidRDefault="008B2809" w:rsidP="008B2809">
      <w:pPr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sz w:val="24"/>
          <w:lang w:val="en-US"/>
        </w:rPr>
        <w:t>Open for all (online course)</w:t>
      </w:r>
    </w:p>
    <w:p w14:paraId="2648EE31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Prerequisites</w:t>
      </w:r>
    </w:p>
    <w:p w14:paraId="56E68F10" w14:textId="77777777" w:rsidR="008B2809" w:rsidRPr="008B2809" w:rsidRDefault="008B2809" w:rsidP="008B2809">
      <w:pPr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sz w:val="24"/>
          <w:lang w:val="en-US"/>
        </w:rPr>
        <w:t xml:space="preserve">Open for all </w:t>
      </w:r>
    </w:p>
    <w:p w14:paraId="660B3AAB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Aims and objectives</w:t>
      </w:r>
    </w:p>
    <w:p w14:paraId="57D69480" w14:textId="451700D1" w:rsidR="008B2809" w:rsidRPr="008B2809" w:rsidRDefault="008B2809" w:rsidP="008B2809">
      <w:pPr>
        <w:spacing w:after="120"/>
        <w:rPr>
          <w:rFonts w:asciiTheme="minorHAnsi" w:hAnsiTheme="minorHAnsi"/>
          <w:iCs/>
          <w:sz w:val="24"/>
          <w:lang w:val="en-US"/>
        </w:rPr>
      </w:pPr>
      <w:r w:rsidRPr="008B2809">
        <w:rPr>
          <w:rFonts w:asciiTheme="minorHAnsi" w:hAnsiTheme="minorHAnsi"/>
          <w:iCs/>
          <w:sz w:val="24"/>
          <w:lang w:val="en-GB"/>
        </w:rPr>
        <w:t>This course aims to reflect upon, rethink, and redefine our current food systems in cities through urban agriculture. Through this course</w:t>
      </w:r>
      <w:r w:rsidRPr="008B2809">
        <w:rPr>
          <w:rFonts w:asciiTheme="minorHAnsi" w:hAnsiTheme="minorHAnsi"/>
          <w:iCs/>
          <w:sz w:val="24"/>
          <w:lang w:val="en-GB"/>
        </w:rPr>
        <w:t>,</w:t>
      </w:r>
      <w:r w:rsidRPr="008B2809">
        <w:rPr>
          <w:rFonts w:asciiTheme="minorHAnsi" w:hAnsiTheme="minorHAnsi"/>
          <w:iCs/>
          <w:sz w:val="24"/>
          <w:lang w:val="en-GB"/>
        </w:rPr>
        <w:t xml:space="preserve"> the participants will be able to integrate urban agriculture on any scale and in a wide variety of domains like single units, green buildings, neighbourhood space, cityscapes and more. The main objectives are:</w:t>
      </w:r>
    </w:p>
    <w:p w14:paraId="5E0BDF4B" w14:textId="77777777" w:rsidR="008B2809" w:rsidRPr="008B2809" w:rsidRDefault="008B2809" w:rsidP="008B2809">
      <w:pPr>
        <w:numPr>
          <w:ilvl w:val="0"/>
          <w:numId w:val="19"/>
        </w:numPr>
        <w:suppressAutoHyphens/>
        <w:spacing w:after="120"/>
        <w:rPr>
          <w:rFonts w:asciiTheme="minorHAnsi" w:hAnsiTheme="minorHAnsi"/>
          <w:iCs/>
          <w:sz w:val="24"/>
          <w:lang w:val="en-GB"/>
        </w:rPr>
      </w:pPr>
      <w:r w:rsidRPr="008B2809">
        <w:rPr>
          <w:rFonts w:ascii="Calibri" w:hAnsi="Calibri"/>
          <w:iCs/>
          <w:sz w:val="24"/>
          <w:lang w:val="en-GB"/>
        </w:rPr>
        <w:t>To create awareness and sensitise participants towards the importance of sustainable food systems.</w:t>
      </w:r>
    </w:p>
    <w:p w14:paraId="08823690" w14:textId="77777777" w:rsidR="008B2809" w:rsidRPr="008B2809" w:rsidRDefault="008B2809" w:rsidP="008B2809">
      <w:pPr>
        <w:numPr>
          <w:ilvl w:val="0"/>
          <w:numId w:val="19"/>
        </w:numPr>
        <w:suppressAutoHyphens/>
        <w:spacing w:after="120"/>
        <w:rPr>
          <w:rFonts w:asciiTheme="minorHAnsi" w:hAnsiTheme="minorHAnsi"/>
          <w:iCs/>
          <w:sz w:val="24"/>
          <w:lang w:val="en-GB"/>
        </w:rPr>
      </w:pPr>
      <w:r w:rsidRPr="008B2809">
        <w:rPr>
          <w:rFonts w:ascii="Calibri" w:hAnsi="Calibri"/>
          <w:iCs/>
          <w:sz w:val="24"/>
          <w:lang w:val="en-GB"/>
        </w:rPr>
        <w:t xml:space="preserve">To redefine and recreate their narrative of the food supply. </w:t>
      </w:r>
    </w:p>
    <w:p w14:paraId="0673DE86" w14:textId="77777777" w:rsidR="008B2809" w:rsidRPr="008B2809" w:rsidRDefault="008B2809" w:rsidP="008B2809">
      <w:pPr>
        <w:numPr>
          <w:ilvl w:val="0"/>
          <w:numId w:val="19"/>
        </w:numPr>
        <w:suppressAutoHyphens/>
        <w:spacing w:after="120"/>
        <w:rPr>
          <w:rFonts w:asciiTheme="minorHAnsi" w:hAnsiTheme="minorHAnsi"/>
          <w:iCs/>
          <w:sz w:val="24"/>
          <w:lang w:val="en-GB"/>
        </w:rPr>
      </w:pPr>
      <w:r w:rsidRPr="008B2809">
        <w:rPr>
          <w:rFonts w:ascii="Calibri" w:hAnsi="Calibri"/>
          <w:iCs/>
          <w:sz w:val="24"/>
          <w:lang w:val="en-GB"/>
        </w:rPr>
        <w:t>To provide innovative solutions to ease kitchen gardening at the household level, neighbourhood level and city level.</w:t>
      </w:r>
    </w:p>
    <w:p w14:paraId="262C749A" w14:textId="3B38D2E8" w:rsidR="008B2809" w:rsidRPr="008B2809" w:rsidRDefault="008B2809" w:rsidP="008B2809">
      <w:pPr>
        <w:numPr>
          <w:ilvl w:val="0"/>
          <w:numId w:val="19"/>
        </w:numPr>
        <w:suppressAutoHyphens/>
        <w:spacing w:after="120"/>
        <w:rPr>
          <w:rFonts w:asciiTheme="minorHAnsi" w:hAnsiTheme="minorHAnsi"/>
          <w:iCs/>
          <w:sz w:val="24"/>
          <w:lang w:val="en-GB"/>
        </w:rPr>
      </w:pPr>
      <w:r w:rsidRPr="008B2809">
        <w:rPr>
          <w:rFonts w:ascii="Calibri" w:hAnsi="Calibri"/>
          <w:iCs/>
          <w:sz w:val="24"/>
          <w:lang w:val="en-GB"/>
        </w:rPr>
        <w:lastRenderedPageBreak/>
        <w:t xml:space="preserve">To put forward possible ways to counter situations like food shortage in </w:t>
      </w:r>
      <w:r>
        <w:rPr>
          <w:rFonts w:ascii="Calibri" w:hAnsi="Calibri"/>
          <w:iCs/>
          <w:sz w:val="24"/>
          <w:lang w:val="en-GB"/>
        </w:rPr>
        <w:t xml:space="preserve">the </w:t>
      </w:r>
      <w:r w:rsidRPr="008B2809">
        <w:rPr>
          <w:rFonts w:ascii="Calibri" w:hAnsi="Calibri"/>
          <w:iCs/>
          <w:sz w:val="24"/>
          <w:lang w:val="en-GB"/>
        </w:rPr>
        <w:t>pandemic, climate change impacts etc. through urban agriculture.</w:t>
      </w:r>
    </w:p>
    <w:p w14:paraId="1281FB16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General learning outcomes:</w:t>
      </w:r>
    </w:p>
    <w:p w14:paraId="1F8A24E1" w14:textId="77777777" w:rsidR="008B2809" w:rsidRPr="008B2809" w:rsidRDefault="008B2809" w:rsidP="008B2809">
      <w:pPr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sz w:val="24"/>
          <w:lang w:val="en-US"/>
        </w:rPr>
        <w:t>By the end of the course, successful students will:</w:t>
      </w:r>
    </w:p>
    <w:p w14:paraId="11B593D3" w14:textId="77777777" w:rsidR="008B2809" w:rsidRPr="008B2809" w:rsidRDefault="008B2809" w:rsidP="008B2809">
      <w:pPr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7434"/>
      </w:tblGrid>
      <w:tr w:rsidR="008B2809" w:rsidRPr="008B2809" w14:paraId="736AD76F" w14:textId="77777777" w:rsidTr="00E52E67">
        <w:tc>
          <w:tcPr>
            <w:tcW w:w="1808" w:type="dxa"/>
            <w:shd w:val="clear" w:color="auto" w:fill="auto"/>
          </w:tcPr>
          <w:p w14:paraId="7DF4AF16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Knowledge</w:t>
            </w:r>
          </w:p>
        </w:tc>
        <w:tc>
          <w:tcPr>
            <w:tcW w:w="7433" w:type="dxa"/>
            <w:shd w:val="clear" w:color="auto" w:fill="auto"/>
          </w:tcPr>
          <w:p w14:paraId="2EEDC9FE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51" w:hanging="351"/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Learn through best practices in cities incorporating urban agriculture into their design palate and understanding</w:t>
            </w:r>
          </w:p>
        </w:tc>
      </w:tr>
      <w:tr w:rsidR="008B2809" w:rsidRPr="008B2809" w14:paraId="00CC4ED6" w14:textId="77777777" w:rsidTr="00E52E67">
        <w:tc>
          <w:tcPr>
            <w:tcW w:w="1808" w:type="dxa"/>
            <w:shd w:val="clear" w:color="auto" w:fill="auto"/>
          </w:tcPr>
          <w:p w14:paraId="64D7A612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Comprehensive</w:t>
            </w:r>
          </w:p>
        </w:tc>
        <w:tc>
          <w:tcPr>
            <w:tcW w:w="7433" w:type="dxa"/>
            <w:shd w:val="clear" w:color="auto" w:fill="auto"/>
          </w:tcPr>
          <w:p w14:paraId="400AFE58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51" w:hanging="351"/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Discuss and gain insights into urban food systems and supply chain</w:t>
            </w:r>
          </w:p>
        </w:tc>
      </w:tr>
      <w:tr w:rsidR="008B2809" w:rsidRPr="008B2809" w14:paraId="49417B79" w14:textId="77777777" w:rsidTr="00E52E67">
        <w:tc>
          <w:tcPr>
            <w:tcW w:w="1808" w:type="dxa"/>
            <w:shd w:val="clear" w:color="auto" w:fill="auto"/>
          </w:tcPr>
          <w:p w14:paraId="38F92B8E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Application</w:t>
            </w:r>
          </w:p>
        </w:tc>
        <w:tc>
          <w:tcPr>
            <w:tcW w:w="7433" w:type="dxa"/>
            <w:shd w:val="clear" w:color="auto" w:fill="auto"/>
          </w:tcPr>
          <w:p w14:paraId="4A08A8D3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51" w:hanging="351"/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Apply the learnings and principles in designing the habitat</w:t>
            </w:r>
          </w:p>
        </w:tc>
      </w:tr>
      <w:tr w:rsidR="008B2809" w:rsidRPr="008B2809" w14:paraId="2C2E4996" w14:textId="77777777" w:rsidTr="00E52E67">
        <w:tc>
          <w:tcPr>
            <w:tcW w:w="1808" w:type="dxa"/>
            <w:shd w:val="clear" w:color="auto" w:fill="auto"/>
          </w:tcPr>
          <w:p w14:paraId="702A9C1C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Analysis</w:t>
            </w:r>
          </w:p>
        </w:tc>
        <w:tc>
          <w:tcPr>
            <w:tcW w:w="7433" w:type="dxa"/>
            <w:shd w:val="clear" w:color="auto" w:fill="auto"/>
          </w:tcPr>
          <w:p w14:paraId="2DB3BF21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51" w:hanging="351"/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Investigate and analyze a diversity of urban agricultural systems also exploring the</w:t>
            </w:r>
          </w:p>
          <w:p w14:paraId="63B830A0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51" w:hanging="351"/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 xml:space="preserve"> need for indoor agriculture</w:t>
            </w:r>
          </w:p>
        </w:tc>
      </w:tr>
      <w:tr w:rsidR="008B2809" w:rsidRPr="008B2809" w14:paraId="681E06A1" w14:textId="77777777" w:rsidTr="00E52E67">
        <w:tc>
          <w:tcPr>
            <w:tcW w:w="1808" w:type="dxa"/>
            <w:shd w:val="clear" w:color="auto" w:fill="auto"/>
          </w:tcPr>
          <w:p w14:paraId="06C9C2B5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Synthesis</w:t>
            </w:r>
          </w:p>
        </w:tc>
        <w:tc>
          <w:tcPr>
            <w:tcW w:w="7433" w:type="dxa"/>
            <w:shd w:val="clear" w:color="auto" w:fill="auto"/>
          </w:tcPr>
          <w:p w14:paraId="053F4A9C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Incorporate the learnings and principles in designing new habitat</w:t>
            </w:r>
          </w:p>
        </w:tc>
      </w:tr>
    </w:tbl>
    <w:p w14:paraId="62F14506" w14:textId="77777777" w:rsidR="008B2809" w:rsidRPr="008B2809" w:rsidRDefault="008B2809" w:rsidP="008B2809">
      <w:pPr>
        <w:spacing w:after="120" w:line="276" w:lineRule="auto"/>
        <w:ind w:left="318"/>
        <w:contextualSpacing/>
        <w:rPr>
          <w:rFonts w:asciiTheme="minorHAnsi" w:eastAsia="Calibri" w:hAnsiTheme="minorHAnsi"/>
          <w:sz w:val="24"/>
          <w:lang w:val="en-US" w:eastAsia="en-US"/>
        </w:rPr>
      </w:pPr>
    </w:p>
    <w:p w14:paraId="5CF1DEA7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Overview of sessions and teaching methods</w:t>
      </w:r>
    </w:p>
    <w:p w14:paraId="45F7A6F3" w14:textId="227C7A83" w:rsidR="008B2809" w:rsidRPr="008B2809" w:rsidRDefault="008B2809" w:rsidP="008B2809">
      <w:pPr>
        <w:jc w:val="both"/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sz w:val="24"/>
          <w:lang w:val="en-US"/>
        </w:rPr>
        <w:t xml:space="preserve">The course will make most of </w:t>
      </w:r>
      <w:r>
        <w:rPr>
          <w:rFonts w:asciiTheme="minorHAnsi" w:hAnsiTheme="minorHAnsi"/>
          <w:sz w:val="24"/>
          <w:lang w:val="en-US"/>
        </w:rPr>
        <w:t xml:space="preserve">the </w:t>
      </w:r>
      <w:r w:rsidRPr="008B2809">
        <w:rPr>
          <w:rFonts w:asciiTheme="minorHAnsi" w:hAnsiTheme="minorHAnsi"/>
          <w:sz w:val="24"/>
          <w:lang w:val="en-US"/>
        </w:rPr>
        <w:t xml:space="preserve">interactive and self-reflective methods of teaching and learning and, where possible, avoid standing lectures and presentations. </w:t>
      </w:r>
    </w:p>
    <w:p w14:paraId="48CCA2E6" w14:textId="77777777" w:rsidR="008B2809" w:rsidRPr="008B2809" w:rsidRDefault="008B2809" w:rsidP="008B2809">
      <w:pPr>
        <w:jc w:val="both"/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7434"/>
      </w:tblGrid>
      <w:tr w:rsidR="008B2809" w:rsidRPr="008B2809" w14:paraId="5A194EE9" w14:textId="77777777" w:rsidTr="00E52E67">
        <w:tc>
          <w:tcPr>
            <w:tcW w:w="1808" w:type="dxa"/>
            <w:shd w:val="clear" w:color="auto" w:fill="auto"/>
          </w:tcPr>
          <w:p w14:paraId="6D923D99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GB"/>
              </w:rPr>
              <w:t>Learning methods</w:t>
            </w:r>
          </w:p>
        </w:tc>
        <w:tc>
          <w:tcPr>
            <w:tcW w:w="7433" w:type="dxa"/>
            <w:shd w:val="clear" w:color="auto" w:fill="auto"/>
          </w:tcPr>
          <w:p w14:paraId="1E5213F0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Video presentations</w:t>
            </w:r>
          </w:p>
          <w:p w14:paraId="4DD3B3AE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Group discussions, debates etc</w:t>
            </w:r>
          </w:p>
          <w:p w14:paraId="4DA0FDB7" w14:textId="735C3FD3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Interviews, surveys, group work, written articles/essay</w:t>
            </w:r>
          </w:p>
          <w:p w14:paraId="343237B6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Project Based Learning</w:t>
            </w:r>
          </w:p>
          <w:p w14:paraId="05901FFB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Literature review</w:t>
            </w:r>
          </w:p>
          <w:p w14:paraId="473DB219" w14:textId="77777777" w:rsid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8B2809">
              <w:rPr>
                <w:rFonts w:asciiTheme="minorHAnsi" w:eastAsia="Calibri" w:hAnsiTheme="minorHAnsi"/>
                <w:sz w:val="24"/>
                <w:lang w:val="en-US" w:eastAsia="en-US"/>
              </w:rPr>
              <w:t>Stakeholder analysis/client consultancy</w:t>
            </w:r>
          </w:p>
          <w:p w14:paraId="05279204" w14:textId="35097797" w:rsidR="008B2809" w:rsidRPr="008B2809" w:rsidRDefault="008B2809" w:rsidP="008B2809">
            <w:pPr>
              <w:widowControl w:val="0"/>
              <w:suppressAutoHyphens/>
              <w:ind w:left="3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</w:p>
        </w:tc>
      </w:tr>
      <w:tr w:rsidR="008B2809" w:rsidRPr="008B2809" w14:paraId="420AFF6E" w14:textId="77777777" w:rsidTr="00E52E67">
        <w:tc>
          <w:tcPr>
            <w:tcW w:w="1808" w:type="dxa"/>
            <w:shd w:val="clear" w:color="auto" w:fill="auto"/>
          </w:tcPr>
          <w:p w14:paraId="17F527F9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GB"/>
              </w:rPr>
              <w:t>Course outline</w:t>
            </w:r>
          </w:p>
        </w:tc>
        <w:tc>
          <w:tcPr>
            <w:tcW w:w="7433" w:type="dxa"/>
            <w:shd w:val="clear" w:color="auto" w:fill="auto"/>
          </w:tcPr>
          <w:p w14:paraId="330B4171" w14:textId="77777777" w:rsidR="008B2809" w:rsidRPr="008B2809" w:rsidRDefault="008B2809" w:rsidP="008B2809">
            <w:pPr>
              <w:widowControl w:val="0"/>
              <w:ind w:left="360"/>
              <w:contextualSpacing/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>Unit 1: Introduction to Urban Agriculture (Day 1 – 5)</w:t>
            </w:r>
          </w:p>
          <w:p w14:paraId="51DA588D" w14:textId="77777777" w:rsidR="008B2809" w:rsidRPr="008B2809" w:rsidRDefault="008B2809" w:rsidP="00E52E67">
            <w:pPr>
              <w:widowControl w:val="0"/>
              <w:ind w:left="754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40840485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Understanding of Agriculture</w:t>
            </w:r>
          </w:p>
          <w:p w14:paraId="23AE405A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6EE794F5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Understanding of Urban Agriculture</w:t>
            </w:r>
          </w:p>
          <w:p w14:paraId="454A7A28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553D33CF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Understanding Organizational framework</w:t>
            </w:r>
          </w:p>
          <w:p w14:paraId="27F97FE4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29AC12B0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Virtual Farm visits to different scale of farms in different cities</w:t>
            </w:r>
          </w:p>
          <w:p w14:paraId="4955C101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79DA1FBF" w14:textId="77777777" w:rsidR="008B2809" w:rsidRPr="008B2809" w:rsidRDefault="008B2809" w:rsidP="008B2809">
            <w:pPr>
              <w:widowControl w:val="0"/>
              <w:numPr>
                <w:ilvl w:val="0"/>
                <w:numId w:val="17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Growing microgreens – to be consumed as Salad lunch day on 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lastRenderedPageBreak/>
              <w:t>later in the week once they are ready</w:t>
            </w:r>
          </w:p>
          <w:p w14:paraId="4000E12A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7CCAEEFB" w14:textId="77777777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103F1483" w14:textId="77777777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>Unit 2: Case Study and Analysis (Day 6 – 9)</w:t>
            </w:r>
          </w:p>
          <w:p w14:paraId="5F02ACD8" w14:textId="77777777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04ADD0B6" w14:textId="6E133F15" w:rsidR="008B2809" w:rsidRPr="008B2809" w:rsidRDefault="008B2809" w:rsidP="008B2809">
            <w:pPr>
              <w:widowControl w:val="0"/>
              <w:numPr>
                <w:ilvl w:val="0"/>
                <w:numId w:val="20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To case study research, analysis, discussions, make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 xml:space="preserve">a 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video of the analysis of various cities and agri-businesses</w:t>
            </w:r>
          </w:p>
          <w:p w14:paraId="1B2C7B5C" w14:textId="77777777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14853677" w14:textId="6342F975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 xml:space="preserve">Unit 3: Build </w:t>
            </w: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 xml:space="preserve">a </w:t>
            </w: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>narrative on the food supply chain and give solutions to incorporate urban</w:t>
            </w: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 xml:space="preserve"> </w:t>
            </w: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 xml:space="preserve">agriculture in their </w:t>
            </w:r>
            <w:r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>neighbourhood</w:t>
            </w:r>
            <w:r w:rsidRPr="008B2809">
              <w:rPr>
                <w:rFonts w:ascii="Calibri" w:eastAsia="Calibri" w:hAnsi="Calibri"/>
                <w:b/>
                <w:bCs/>
                <w:sz w:val="24"/>
                <w:lang w:val="en-US" w:eastAsia="en-US"/>
              </w:rPr>
              <w:t>. (Day 10-14)</w:t>
            </w:r>
          </w:p>
          <w:p w14:paraId="558735FE" w14:textId="77777777" w:rsidR="008B2809" w:rsidRPr="008B2809" w:rsidRDefault="008B2809" w:rsidP="00E52E67">
            <w:pPr>
              <w:widowControl w:val="0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  <w:p w14:paraId="3F2F250B" w14:textId="37A082EC" w:rsidR="008B2809" w:rsidRPr="008B2809" w:rsidRDefault="008B2809" w:rsidP="008B2809">
            <w:pPr>
              <w:widowControl w:val="0"/>
              <w:numPr>
                <w:ilvl w:val="0"/>
                <w:numId w:val="21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Find out the food supply chain of your own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neighbourhood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 by surveys of consumers, shopkeepers,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wholesalers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; FGDs etc</w:t>
            </w:r>
          </w:p>
          <w:p w14:paraId="0EACF3B0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sz w:val="24"/>
              </w:rPr>
            </w:pPr>
          </w:p>
          <w:p w14:paraId="1C0D4E81" w14:textId="1D7EED7F" w:rsidR="008B2809" w:rsidRPr="008B2809" w:rsidRDefault="008B2809" w:rsidP="008B2809">
            <w:pPr>
              <w:widowControl w:val="0"/>
              <w:numPr>
                <w:ilvl w:val="0"/>
                <w:numId w:val="21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Map your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neighbourhood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 and identify spaces where urban agriculture can be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practised</w:t>
            </w: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 xml:space="preserve"> and where it is existing already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practised</w:t>
            </w:r>
          </w:p>
          <w:p w14:paraId="45895ABE" w14:textId="77777777" w:rsidR="008B2809" w:rsidRPr="008B2809" w:rsidRDefault="008B2809" w:rsidP="00E52E67">
            <w:pPr>
              <w:widowControl w:val="0"/>
              <w:ind w:left="720"/>
              <w:contextualSpacing/>
              <w:rPr>
                <w:sz w:val="24"/>
              </w:rPr>
            </w:pPr>
          </w:p>
          <w:p w14:paraId="416B077C" w14:textId="77777777" w:rsidR="008B2809" w:rsidRPr="008B2809" w:rsidRDefault="008B2809" w:rsidP="008B2809">
            <w:pPr>
              <w:widowControl w:val="0"/>
              <w:numPr>
                <w:ilvl w:val="0"/>
                <w:numId w:val="21"/>
              </w:numPr>
              <w:suppressAutoHyphens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  <w:r w:rsidRPr="008B2809">
              <w:rPr>
                <w:rFonts w:ascii="Calibri" w:eastAsia="Calibri" w:hAnsi="Calibri"/>
                <w:sz w:val="24"/>
                <w:lang w:val="en-US" w:eastAsia="en-US"/>
              </w:rPr>
              <w:t>Propose ways and methods to incorporate urban agriculture in the given spaces through physical planning, policies, incentives, community participation etc</w:t>
            </w:r>
          </w:p>
        </w:tc>
      </w:tr>
      <w:tr w:rsidR="008B2809" w:rsidRPr="008B2809" w14:paraId="41C5A40A" w14:textId="77777777" w:rsidTr="00E52E67">
        <w:tc>
          <w:tcPr>
            <w:tcW w:w="1808" w:type="dxa"/>
            <w:shd w:val="clear" w:color="auto" w:fill="auto"/>
          </w:tcPr>
          <w:p w14:paraId="3AF60191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GB"/>
              </w:rPr>
            </w:pPr>
          </w:p>
        </w:tc>
        <w:tc>
          <w:tcPr>
            <w:tcW w:w="7433" w:type="dxa"/>
            <w:shd w:val="clear" w:color="auto" w:fill="auto"/>
          </w:tcPr>
          <w:p w14:paraId="0AA6F304" w14:textId="77777777" w:rsidR="008B2809" w:rsidRPr="008B2809" w:rsidRDefault="008B2809" w:rsidP="00E52E67">
            <w:pPr>
              <w:widowControl w:val="0"/>
              <w:ind w:left="754"/>
              <w:contextualSpacing/>
              <w:rPr>
                <w:rFonts w:ascii="Calibri" w:eastAsia="Calibri" w:hAnsi="Calibri"/>
                <w:sz w:val="24"/>
                <w:lang w:val="en-US" w:eastAsia="en-US"/>
              </w:rPr>
            </w:pPr>
          </w:p>
        </w:tc>
      </w:tr>
    </w:tbl>
    <w:p w14:paraId="5632E754" w14:textId="77777777" w:rsidR="008B2809" w:rsidRPr="008B2809" w:rsidRDefault="008B2809" w:rsidP="008B2809">
      <w:pPr>
        <w:rPr>
          <w:rFonts w:asciiTheme="minorHAnsi" w:hAnsiTheme="minorHAnsi" w:cstheme="minorHAnsi"/>
          <w:sz w:val="24"/>
        </w:rPr>
      </w:pPr>
    </w:p>
    <w:p w14:paraId="79E1573B" w14:textId="77777777" w:rsidR="008B2809" w:rsidRPr="008B2809" w:rsidRDefault="008B2809" w:rsidP="008B2809">
      <w:pPr>
        <w:rPr>
          <w:rFonts w:asciiTheme="minorHAnsi" w:hAnsiTheme="minorHAnsi" w:cstheme="minorHAnsi"/>
          <w:b/>
          <w:bCs/>
          <w:sz w:val="24"/>
          <w:lang w:val="mn-MN"/>
        </w:rPr>
      </w:pPr>
      <w:r w:rsidRPr="008B2809">
        <w:rPr>
          <w:rFonts w:asciiTheme="minorHAnsi" w:hAnsiTheme="minorHAnsi" w:cstheme="minorHAnsi"/>
          <w:b/>
          <w:bCs/>
          <w:sz w:val="24"/>
          <w:lang w:val="mn-MN"/>
        </w:rPr>
        <w:t xml:space="preserve">Literature </w:t>
      </w:r>
    </w:p>
    <w:p w14:paraId="54DC6AD8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Rich food, smart city: how building reliable, inclusive, competitive, and healthy food systems is smart policy for urban Asia by Gayatri Acharya, Emilie Cassou, Steven Jaffee and Elyssa Kaur Ludher</w:t>
      </w:r>
    </w:p>
    <w:p w14:paraId="26FBB66A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="Calibri" w:hAnsi="Calibri"/>
          <w:sz w:val="24"/>
          <w:lang w:val="en-GB"/>
        </w:rPr>
        <w:t>Public Policies and Food Systems in Latin America by Jean-François Le Coq, Catia Grisa, Stéphane Guéneau, Paulo Niederle.</w:t>
      </w:r>
    </w:p>
    <w:p w14:paraId="2191C119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="Calibri" w:hAnsi="Calibri"/>
          <w:sz w:val="24"/>
          <w:lang w:val="en-GB"/>
        </w:rPr>
        <w:t>Cities and Agriculture: Developing Resilient Urban Food Systems (2015) by RAUF</w:t>
      </w:r>
    </w:p>
    <w:p w14:paraId="6FA9A596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="Calibri" w:hAnsi="Calibri"/>
          <w:sz w:val="24"/>
          <w:lang w:val="en-GB"/>
        </w:rPr>
        <w:t>Urban Agriculture Magazines all editions by RAUF</w:t>
      </w:r>
    </w:p>
    <w:p w14:paraId="5A424C99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Second Nature Urban Agriculture: Designing Productive Cities Ed by André Viljoen and Katrin Bohn</w:t>
      </w:r>
    </w:p>
    <w:p w14:paraId="3C817302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Creating Urban Agricultural Systems: An Integrated Approach To Design Gundula, Proksch</w:t>
      </w:r>
    </w:p>
    <w:p w14:paraId="4D25DD02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Carrot City: Creating Places For Urban Agriculture by Mark Gorgolewski, June Komisar and Joe Nasr</w:t>
      </w:r>
    </w:p>
    <w:p w14:paraId="409C61EE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Designing Urban Agriculture: A Complete Guide to the Planning, Design, Construction, Maintenance and Management of Edible Landscapes Hardcover by April Philips.</w:t>
      </w:r>
    </w:p>
    <w:p w14:paraId="4A65B6E2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Urban Agriculture by Aubry, Christine, Duchemin, Éric, Nasr, Joe.</w:t>
      </w:r>
    </w:p>
    <w:p w14:paraId="3B25EA9F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lastRenderedPageBreak/>
        <w:t>Creating Urban Agricultural Systems An Integrated Approach to Design By Gundula Proksch.</w:t>
      </w:r>
    </w:p>
    <w:p w14:paraId="38A6AC88" w14:textId="77777777" w:rsidR="008B2809" w:rsidRPr="008B2809" w:rsidRDefault="008B2809" w:rsidP="008B2809">
      <w:pPr>
        <w:pStyle w:val="ListParagraph"/>
        <w:numPr>
          <w:ilvl w:val="0"/>
          <w:numId w:val="18"/>
        </w:numPr>
        <w:suppressAutoHyphens/>
        <w:spacing w:after="160" w:line="259" w:lineRule="auto"/>
        <w:jc w:val="both"/>
        <w:rPr>
          <w:rFonts w:asciiTheme="minorHAnsi" w:hAnsiTheme="minorHAnsi"/>
          <w:sz w:val="24"/>
          <w:lang w:val="en-GB"/>
        </w:rPr>
      </w:pPr>
      <w:r w:rsidRPr="008B2809">
        <w:rPr>
          <w:rFonts w:asciiTheme="minorHAnsi" w:hAnsiTheme="minorHAnsi"/>
          <w:sz w:val="24"/>
          <w:lang w:val="en-GB"/>
        </w:rPr>
        <w:t>Sustainable Urban Agriculture and Food Planning by Rob Roggema.</w:t>
      </w:r>
    </w:p>
    <w:p w14:paraId="6D359DEB" w14:textId="77777777" w:rsidR="008B2809" w:rsidRPr="008B2809" w:rsidRDefault="008B2809" w:rsidP="008B2809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8B2809">
        <w:rPr>
          <w:rFonts w:asciiTheme="minorHAnsi" w:hAnsiTheme="minorHAnsi"/>
          <w:b/>
          <w:bCs/>
          <w:sz w:val="24"/>
        </w:rPr>
        <w:t>Course workload</w:t>
      </w:r>
    </w:p>
    <w:p w14:paraId="3CF82945" w14:textId="77777777" w:rsidR="008B2809" w:rsidRPr="008B2809" w:rsidRDefault="008B2809" w:rsidP="008B2809">
      <w:pPr>
        <w:jc w:val="both"/>
        <w:rPr>
          <w:rFonts w:asciiTheme="minorHAnsi" w:hAnsiTheme="minorHAnsi"/>
          <w:sz w:val="24"/>
          <w:lang w:val="en-US"/>
        </w:rPr>
      </w:pPr>
      <w:r w:rsidRPr="008B2809">
        <w:rPr>
          <w:rFonts w:asciiTheme="minorHAnsi" w:hAnsiTheme="minorHAnsi"/>
          <w:sz w:val="24"/>
          <w:lang w:val="en-US"/>
        </w:rPr>
        <w:t>The table below summarizes course workload distribution:</w:t>
      </w:r>
    </w:p>
    <w:p w14:paraId="1754214C" w14:textId="77777777" w:rsidR="008B2809" w:rsidRPr="008B2809" w:rsidRDefault="008B2809" w:rsidP="008B2809">
      <w:pPr>
        <w:jc w:val="both"/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808"/>
        <w:gridCol w:w="642"/>
        <w:gridCol w:w="3175"/>
        <w:gridCol w:w="1651"/>
        <w:gridCol w:w="1650"/>
        <w:gridCol w:w="316"/>
      </w:tblGrid>
      <w:tr w:rsidR="008B2809" w:rsidRPr="008B2809" w14:paraId="63E73DD2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8E234C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</w:rPr>
            </w:pPr>
            <w:r w:rsidRPr="008B2809">
              <w:rPr>
                <w:rFonts w:asciiTheme="minorHAnsi" w:hAnsiTheme="minorHAnsi"/>
                <w:b/>
                <w:sz w:val="24"/>
              </w:rPr>
              <w:t>Activities</w:t>
            </w:r>
          </w:p>
          <w:p w14:paraId="14ECE76A" w14:textId="77777777" w:rsidR="008B2809" w:rsidRPr="008B2809" w:rsidRDefault="008B2809" w:rsidP="00E52E67">
            <w:pPr>
              <w:widowControl w:val="0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687F3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</w:rPr>
            </w:pPr>
            <w:r w:rsidRPr="008B2809">
              <w:rPr>
                <w:rFonts w:asciiTheme="minorHAnsi" w:hAnsiTheme="minorHAnsi"/>
                <w:b/>
                <w:sz w:val="24"/>
              </w:rPr>
              <w:t>Learning outcomes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A6931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</w:rPr>
            </w:pPr>
            <w:r w:rsidRPr="008B2809">
              <w:rPr>
                <w:rFonts w:asciiTheme="minorHAnsi" w:hAnsiTheme="minorHAnsi"/>
                <w:b/>
                <w:sz w:val="24"/>
              </w:rPr>
              <w:t>Assessment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25690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</w:rPr>
            </w:pPr>
            <w:r w:rsidRPr="008B2809">
              <w:rPr>
                <w:rFonts w:asciiTheme="minorHAnsi" w:hAnsiTheme="minorHAnsi"/>
                <w:b/>
                <w:sz w:val="24"/>
              </w:rPr>
              <w:t>Estimated workload (hours)</w:t>
            </w:r>
          </w:p>
        </w:tc>
        <w:tc>
          <w:tcPr>
            <w:tcW w:w="316" w:type="dxa"/>
          </w:tcPr>
          <w:p w14:paraId="1AAFC362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6274A821" w14:textId="77777777" w:rsidTr="008B2809"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B9C79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US"/>
              </w:rPr>
              <w:t>In-class activities (60 hours)</w:t>
            </w:r>
          </w:p>
        </w:tc>
        <w:tc>
          <w:tcPr>
            <w:tcW w:w="316" w:type="dxa"/>
          </w:tcPr>
          <w:p w14:paraId="3EEE991C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43513FF4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D57A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</w:rPr>
            </w:pPr>
            <w:r w:rsidRPr="008B2809">
              <w:rPr>
                <w:rFonts w:asciiTheme="minorHAnsi" w:hAnsiTheme="minorHAnsi"/>
                <w:sz w:val="24"/>
              </w:rPr>
              <w:t>Lectures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7AD7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Understanding theories, concepts, methodology and tools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7BEB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</w:rPr>
            </w:pPr>
            <w:r w:rsidRPr="008B2809">
              <w:rPr>
                <w:rFonts w:asciiTheme="minorHAnsi" w:hAnsiTheme="minorHAnsi"/>
                <w:sz w:val="24"/>
              </w:rPr>
              <w:t>Class participation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E333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20</w:t>
            </w:r>
          </w:p>
        </w:tc>
        <w:tc>
          <w:tcPr>
            <w:tcW w:w="316" w:type="dxa"/>
          </w:tcPr>
          <w:p w14:paraId="3A900D0B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78D0C3D0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4F21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</w:rPr>
            </w:pPr>
            <w:r w:rsidRPr="008B2809">
              <w:rPr>
                <w:rFonts w:asciiTheme="minorHAnsi" w:hAnsiTheme="minorHAnsi"/>
                <w:sz w:val="24"/>
              </w:rPr>
              <w:t>Moderated in-class discussions as well as tutoring and consulting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7683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Understanding various policy and management contexts and common problems in communication in Urban Agriculture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4B0B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Class participation and preparedness for discussions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BB76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="Calibri" w:hAnsi="Calibri"/>
                <w:sz w:val="24"/>
                <w:lang w:val="en-US"/>
              </w:rPr>
              <w:t>25</w:t>
            </w:r>
          </w:p>
        </w:tc>
        <w:tc>
          <w:tcPr>
            <w:tcW w:w="316" w:type="dxa"/>
          </w:tcPr>
          <w:p w14:paraId="2AB18F3C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148993FB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CA7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In-class assignments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59E2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Understanding various policy and management contexts and common problems in communication in Urban Agriculture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E647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Class participation and preparedness for assignments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0DF5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15</w:t>
            </w:r>
          </w:p>
        </w:tc>
        <w:tc>
          <w:tcPr>
            <w:tcW w:w="316" w:type="dxa"/>
          </w:tcPr>
          <w:p w14:paraId="5E7A4A84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18881271" w14:textId="77777777" w:rsidTr="008B2809">
        <w:tc>
          <w:tcPr>
            <w:tcW w:w="8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EB87B" w14:textId="4C848354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b/>
                <w:sz w:val="24"/>
                <w:lang w:val="en-US"/>
              </w:rPr>
              <w:t>Independent work (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12</w:t>
            </w:r>
            <w:r w:rsidRPr="008B2809">
              <w:rPr>
                <w:rFonts w:asciiTheme="minorHAnsi" w:hAnsiTheme="minorHAnsi"/>
                <w:b/>
                <w:sz w:val="24"/>
                <w:lang w:val="en-US"/>
              </w:rPr>
              <w:t xml:space="preserve"> hours)</w:t>
            </w:r>
          </w:p>
        </w:tc>
        <w:tc>
          <w:tcPr>
            <w:tcW w:w="316" w:type="dxa"/>
          </w:tcPr>
          <w:p w14:paraId="52F83EA5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4EBFA2D3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2C01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Individual presentation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E9A0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Ability to interpret data, to analyze the audience, and use the concepts, and tools, for understanding Urban Agriculture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48A4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 w:rsidRPr="008B2809">
              <w:rPr>
                <w:rFonts w:asciiTheme="minorHAnsi" w:hAnsiTheme="minorHAnsi"/>
                <w:sz w:val="24"/>
                <w:lang w:val="en-US"/>
              </w:rPr>
              <w:t>Quality of individual presentation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0D2" w14:textId="002D4DCA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12</w:t>
            </w:r>
          </w:p>
        </w:tc>
        <w:tc>
          <w:tcPr>
            <w:tcW w:w="316" w:type="dxa"/>
          </w:tcPr>
          <w:p w14:paraId="1D1521D5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3E7BFEFF" w14:textId="77777777" w:rsidTr="008B2809"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64634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i/>
                <w:sz w:val="24"/>
              </w:rPr>
            </w:pPr>
            <w:r w:rsidRPr="008B2809">
              <w:rPr>
                <w:rFonts w:asciiTheme="minorHAnsi" w:hAnsiTheme="minorHAnsi"/>
                <w:b/>
                <w:i/>
                <w:sz w:val="24"/>
              </w:rPr>
              <w:t>Total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012A8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881BB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5E6CE" w14:textId="22F1ADDF" w:rsidR="008B2809" w:rsidRPr="008B2809" w:rsidRDefault="008B2809" w:rsidP="00E52E67">
            <w:pPr>
              <w:widowControl w:val="0"/>
              <w:rPr>
                <w:rFonts w:asciiTheme="minorHAnsi" w:hAnsiTheme="minorHAnsi"/>
                <w:b/>
                <w:i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4"/>
                <w:lang w:val="en-US"/>
              </w:rPr>
              <w:t>72</w:t>
            </w:r>
            <w:r w:rsidRPr="008B2809">
              <w:rPr>
                <w:rFonts w:asciiTheme="minorHAnsi" w:hAnsiTheme="minorHAnsi"/>
                <w:b/>
                <w:i/>
                <w:sz w:val="24"/>
                <w:lang w:val="en-US"/>
              </w:rPr>
              <w:t xml:space="preserve"> hours</w:t>
            </w:r>
          </w:p>
        </w:tc>
        <w:tc>
          <w:tcPr>
            <w:tcW w:w="316" w:type="dxa"/>
          </w:tcPr>
          <w:p w14:paraId="5234610D" w14:textId="77777777" w:rsidR="008B2809" w:rsidRPr="008B2809" w:rsidRDefault="008B2809" w:rsidP="00E52E67">
            <w:pPr>
              <w:widowControl w:val="0"/>
              <w:rPr>
                <w:sz w:val="24"/>
              </w:rPr>
            </w:pPr>
          </w:p>
        </w:tc>
      </w:tr>
      <w:tr w:rsidR="008B2809" w:rsidRPr="008B2809" w14:paraId="5EDA6E3B" w14:textId="77777777" w:rsidTr="00E52E67">
        <w:trPr>
          <w:trHeight w:val="598"/>
        </w:trPr>
        <w:tc>
          <w:tcPr>
            <w:tcW w:w="1808" w:type="dxa"/>
            <w:shd w:val="clear" w:color="auto" w:fill="auto"/>
          </w:tcPr>
          <w:p w14:paraId="35F25D38" w14:textId="77777777" w:rsidR="008B2809" w:rsidRPr="008B2809" w:rsidRDefault="008B2809" w:rsidP="00E52E67">
            <w:pPr>
              <w:widowControl w:val="0"/>
              <w:spacing w:before="240" w:after="60"/>
              <w:outlineLvl w:val="5"/>
              <w:rPr>
                <w:rFonts w:asciiTheme="minorHAnsi" w:hAnsiTheme="minorHAnsi"/>
                <w:b/>
                <w:bCs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b/>
                <w:bCs/>
                <w:sz w:val="24"/>
                <w:lang w:val="en-GB"/>
              </w:rPr>
              <w:t>Evaluation</w:t>
            </w:r>
          </w:p>
        </w:tc>
        <w:tc>
          <w:tcPr>
            <w:tcW w:w="7434" w:type="dxa"/>
            <w:gridSpan w:val="5"/>
            <w:shd w:val="clear" w:color="auto" w:fill="auto"/>
          </w:tcPr>
          <w:p w14:paraId="2DEF0C5B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</w:p>
          <w:p w14:paraId="46B9BED3" w14:textId="77777777" w:rsidR="008B2809" w:rsidRPr="008B2809" w:rsidRDefault="008B2809" w:rsidP="00E52E67">
            <w:pPr>
              <w:widowControl w:val="0"/>
              <w:rPr>
                <w:rFonts w:asciiTheme="minorHAnsi" w:hAnsiTheme="minorHAnsi"/>
                <w:sz w:val="24"/>
                <w:lang w:val="en-GB"/>
              </w:rPr>
            </w:pPr>
            <w:r w:rsidRPr="008B2809">
              <w:rPr>
                <w:rFonts w:asciiTheme="minorHAnsi" w:hAnsiTheme="minorHAnsi"/>
                <w:sz w:val="24"/>
                <w:lang w:val="en-GB"/>
              </w:rPr>
              <w:t>Pass or Fail</w:t>
            </w:r>
          </w:p>
        </w:tc>
      </w:tr>
    </w:tbl>
    <w:p w14:paraId="7CC3B581" w14:textId="77777777" w:rsidR="008B2809" w:rsidRPr="008B2809" w:rsidRDefault="008B2809" w:rsidP="008B2809">
      <w:pPr>
        <w:rPr>
          <w:sz w:val="24"/>
        </w:rPr>
      </w:pPr>
    </w:p>
    <w:p w14:paraId="1F2149E3" w14:textId="2CA47C34" w:rsidR="00161993" w:rsidRPr="008B2809" w:rsidRDefault="00161993" w:rsidP="008B2809">
      <w:pPr>
        <w:rPr>
          <w:sz w:val="24"/>
        </w:rPr>
      </w:pPr>
    </w:p>
    <w:sectPr w:rsidR="00161993" w:rsidRPr="008B2809" w:rsidSect="00323033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C253" w14:textId="77777777" w:rsidR="00E42D2D" w:rsidRDefault="00E42D2D">
      <w:r>
        <w:separator/>
      </w:r>
    </w:p>
  </w:endnote>
  <w:endnote w:type="continuationSeparator" w:id="0">
    <w:p w14:paraId="472D0C25" w14:textId="77777777" w:rsidR="00E42D2D" w:rsidRDefault="00E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AE6E" w14:textId="77777777" w:rsidR="00E42D2D" w:rsidRDefault="00E42D2D">
      <w:r>
        <w:separator/>
      </w:r>
    </w:p>
  </w:footnote>
  <w:footnote w:type="continuationSeparator" w:id="0">
    <w:p w14:paraId="7B8BC6D0" w14:textId="77777777" w:rsidR="00E42D2D" w:rsidRDefault="00E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0"/>
      <w:gridCol w:w="3969"/>
      <w:gridCol w:w="3539"/>
    </w:tblGrid>
    <w:tr w:rsidR="00595E90" w14:paraId="7DD547AE" w14:textId="77777777" w:rsidTr="00595E90">
      <w:tc>
        <w:tcPr>
          <w:tcW w:w="2840" w:type="dxa"/>
        </w:tcPr>
        <w:p w14:paraId="080F23B9" w14:textId="77777777" w:rsidR="00720558" w:rsidRDefault="00720558" w:rsidP="0087431B">
          <w:pPr>
            <w:pStyle w:val="Header"/>
            <w:tabs>
              <w:tab w:val="clear" w:pos="4513"/>
              <w:tab w:val="clear" w:pos="9026"/>
              <w:tab w:val="left" w:pos="8175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A73542A" wp14:editId="0A8A7F98">
                <wp:extent cx="960120" cy="7509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75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7E3482" w14:textId="188BEBBF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ADFBD40" wp14:editId="5B9CD2D2">
                <wp:extent cx="1729740" cy="381746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987" cy="39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01F09E9" w14:textId="77777777" w:rsidR="00720558" w:rsidRP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b/>
              <w:bCs/>
              <w:sz w:val="26"/>
              <w:szCs w:val="26"/>
              <w:lang w:val="en-US"/>
            </w:rPr>
          </w:pPr>
          <w:r w:rsidRPr="00720558">
            <w:rPr>
              <w:b/>
              <w:bCs/>
              <w:sz w:val="26"/>
              <w:szCs w:val="26"/>
              <w:lang w:val="en-US"/>
            </w:rPr>
            <w:t>Urban Resilience and Adaptation for India and Mongolia</w:t>
          </w:r>
        </w:p>
        <w:p w14:paraId="11CBED17" w14:textId="08B71DDD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lang w:val="en-US"/>
            </w:rPr>
            <w:t>Curricula, capacity, ICT and stakeholder collaboration to support green &amp; blue infrastructure and nature-based solution</w:t>
          </w:r>
        </w:p>
        <w:p w14:paraId="7401524B" w14:textId="77777777" w:rsidR="00595E90" w:rsidRPr="00595E90" w:rsidRDefault="00595E90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sz w:val="10"/>
              <w:szCs w:val="10"/>
              <w:lang w:val="en-US"/>
            </w:rPr>
          </w:pPr>
        </w:p>
        <w:p w14:paraId="3AB12BBB" w14:textId="57533CBB" w:rsidR="00720558" w:rsidRPr="00595E90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sz w:val="18"/>
              <w:szCs w:val="18"/>
              <w:lang w:val="en-US"/>
            </w:rPr>
          </w:pPr>
          <w:r w:rsidRPr="00595E90">
            <w:rPr>
              <w:sz w:val="18"/>
              <w:szCs w:val="18"/>
              <w:lang w:val="en-US"/>
            </w:rPr>
            <w:t>619050-EPP-1-2020-1-DE-EPPKA2-CBHE-JP</w:t>
          </w:r>
        </w:p>
      </w:tc>
      <w:tc>
        <w:tcPr>
          <w:tcW w:w="3539" w:type="dxa"/>
          <w:vAlign w:val="center"/>
        </w:tcPr>
        <w:p w14:paraId="39E769DE" w14:textId="726E8BE9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5FA68A7" wp14:editId="3C3AF81C">
                <wp:extent cx="2186940" cy="1109946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67" cy="1142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1A6664" w14:textId="08D6E42C" w:rsidR="0021058B" w:rsidRDefault="0021058B" w:rsidP="00720558">
    <w:pPr>
      <w:pStyle w:val="Header"/>
      <w:tabs>
        <w:tab w:val="clear" w:pos="4513"/>
        <w:tab w:val="clear" w:pos="9026"/>
        <w:tab w:val="left" w:pos="8175"/>
      </w:tabs>
      <w:rPr>
        <w:lang w:val="en-US"/>
      </w:rPr>
    </w:pPr>
  </w:p>
  <w:p w14:paraId="36FC174B" w14:textId="77777777" w:rsidR="0021058B" w:rsidRPr="00720558" w:rsidRDefault="0021058B" w:rsidP="00720558">
    <w:pPr>
      <w:pStyle w:val="Header"/>
      <w:tabs>
        <w:tab w:val="clear" w:pos="4513"/>
        <w:tab w:val="clear" w:pos="9026"/>
        <w:tab w:val="left" w:pos="81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251B7B"/>
    <w:multiLevelType w:val="singleLevel"/>
    <w:tmpl w:val="E9251B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F43305"/>
    <w:multiLevelType w:val="multilevel"/>
    <w:tmpl w:val="00F43305"/>
    <w:lvl w:ilvl="0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5EE2EEC"/>
    <w:multiLevelType w:val="hybridMultilevel"/>
    <w:tmpl w:val="10921A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4F80"/>
    <w:multiLevelType w:val="multilevel"/>
    <w:tmpl w:val="18E24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EF9"/>
    <w:multiLevelType w:val="multilevel"/>
    <w:tmpl w:val="38E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4481"/>
    <w:multiLevelType w:val="multilevel"/>
    <w:tmpl w:val="201444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F1E93"/>
    <w:multiLevelType w:val="multilevel"/>
    <w:tmpl w:val="222F1E93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34BC"/>
    <w:multiLevelType w:val="multilevel"/>
    <w:tmpl w:val="2CA0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3317"/>
    <w:multiLevelType w:val="hybridMultilevel"/>
    <w:tmpl w:val="67BCFB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C62001"/>
    <w:multiLevelType w:val="multilevel"/>
    <w:tmpl w:val="E51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61525"/>
    <w:multiLevelType w:val="multilevel"/>
    <w:tmpl w:val="A40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9A86FAC"/>
    <w:multiLevelType w:val="multilevel"/>
    <w:tmpl w:val="BA1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A5449AD"/>
    <w:multiLevelType w:val="multilevel"/>
    <w:tmpl w:val="4A5449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26F"/>
    <w:multiLevelType w:val="hybridMultilevel"/>
    <w:tmpl w:val="75EAE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74D0"/>
    <w:multiLevelType w:val="hybridMultilevel"/>
    <w:tmpl w:val="5E264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408CA"/>
    <w:multiLevelType w:val="hybridMultilevel"/>
    <w:tmpl w:val="A0B242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D2629"/>
    <w:multiLevelType w:val="multilevel"/>
    <w:tmpl w:val="62221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A717A5E"/>
    <w:multiLevelType w:val="multilevel"/>
    <w:tmpl w:val="5A717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D79"/>
    <w:multiLevelType w:val="multilevel"/>
    <w:tmpl w:val="7A72DC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1B010C"/>
    <w:multiLevelType w:val="multilevel"/>
    <w:tmpl w:val="621B0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6141D"/>
    <w:multiLevelType w:val="multilevel"/>
    <w:tmpl w:val="B47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34124838">
    <w:abstractNumId w:val="0"/>
  </w:num>
  <w:num w:numId="2" w16cid:durableId="659625832">
    <w:abstractNumId w:val="2"/>
  </w:num>
  <w:num w:numId="3" w16cid:durableId="2083941327">
    <w:abstractNumId w:val="3"/>
  </w:num>
  <w:num w:numId="4" w16cid:durableId="1307397331">
    <w:abstractNumId w:val="6"/>
  </w:num>
  <w:num w:numId="5" w16cid:durableId="2134903772">
    <w:abstractNumId w:val="1"/>
  </w:num>
  <w:num w:numId="6" w16cid:durableId="1008796007">
    <w:abstractNumId w:val="9"/>
  </w:num>
  <w:num w:numId="7" w16cid:durableId="782571947">
    <w:abstractNumId w:val="4"/>
  </w:num>
  <w:num w:numId="8" w16cid:durableId="1210848270">
    <w:abstractNumId w:val="17"/>
  </w:num>
  <w:num w:numId="9" w16cid:durableId="577175698">
    <w:abstractNumId w:val="7"/>
  </w:num>
  <w:num w:numId="10" w16cid:durableId="307132667">
    <w:abstractNumId w:val="19"/>
  </w:num>
  <w:num w:numId="11" w16cid:durableId="180705991">
    <w:abstractNumId w:val="12"/>
  </w:num>
  <w:num w:numId="12" w16cid:durableId="1040011908">
    <w:abstractNumId w:val="5"/>
  </w:num>
  <w:num w:numId="13" w16cid:durableId="1501432639">
    <w:abstractNumId w:val="15"/>
  </w:num>
  <w:num w:numId="14" w16cid:durableId="242297492">
    <w:abstractNumId w:val="14"/>
  </w:num>
  <w:num w:numId="15" w16cid:durableId="530803252">
    <w:abstractNumId w:val="13"/>
  </w:num>
  <w:num w:numId="16" w16cid:durableId="1212618864">
    <w:abstractNumId w:val="8"/>
  </w:num>
  <w:num w:numId="17" w16cid:durableId="553463">
    <w:abstractNumId w:val="18"/>
  </w:num>
  <w:num w:numId="18" w16cid:durableId="1835489929">
    <w:abstractNumId w:val="16"/>
  </w:num>
  <w:num w:numId="19" w16cid:durableId="1949969732">
    <w:abstractNumId w:val="20"/>
  </w:num>
  <w:num w:numId="20" w16cid:durableId="1330602218">
    <w:abstractNumId w:val="10"/>
  </w:num>
  <w:num w:numId="21" w16cid:durableId="789860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za0sDAzMDI0MzFT0lEKTi0uzszPAykwNKwFANsq1lktAAAA"/>
  </w:docVars>
  <w:rsids>
    <w:rsidRoot w:val="00711D0C"/>
    <w:rsid w:val="00071DCD"/>
    <w:rsid w:val="00095DCF"/>
    <w:rsid w:val="00101C30"/>
    <w:rsid w:val="00155855"/>
    <w:rsid w:val="00161993"/>
    <w:rsid w:val="001E1180"/>
    <w:rsid w:val="002034CD"/>
    <w:rsid w:val="0021058B"/>
    <w:rsid w:val="00211562"/>
    <w:rsid w:val="002E3F19"/>
    <w:rsid w:val="00323033"/>
    <w:rsid w:val="003313FE"/>
    <w:rsid w:val="003B38F7"/>
    <w:rsid w:val="003B5730"/>
    <w:rsid w:val="003D5A48"/>
    <w:rsid w:val="003D7736"/>
    <w:rsid w:val="003E4162"/>
    <w:rsid w:val="004048DD"/>
    <w:rsid w:val="00451AB1"/>
    <w:rsid w:val="004D541E"/>
    <w:rsid w:val="00507645"/>
    <w:rsid w:val="0052519D"/>
    <w:rsid w:val="00552216"/>
    <w:rsid w:val="00595E90"/>
    <w:rsid w:val="005A0941"/>
    <w:rsid w:val="005A2EB4"/>
    <w:rsid w:val="00676BA2"/>
    <w:rsid w:val="00686CF4"/>
    <w:rsid w:val="00691F2F"/>
    <w:rsid w:val="006B7B2C"/>
    <w:rsid w:val="00711D0C"/>
    <w:rsid w:val="00720558"/>
    <w:rsid w:val="007705A9"/>
    <w:rsid w:val="007713BB"/>
    <w:rsid w:val="00776273"/>
    <w:rsid w:val="008732E0"/>
    <w:rsid w:val="0087431B"/>
    <w:rsid w:val="00874F37"/>
    <w:rsid w:val="008B2809"/>
    <w:rsid w:val="0090338A"/>
    <w:rsid w:val="00925F97"/>
    <w:rsid w:val="00945048"/>
    <w:rsid w:val="00982299"/>
    <w:rsid w:val="00991398"/>
    <w:rsid w:val="009A6D41"/>
    <w:rsid w:val="009F4237"/>
    <w:rsid w:val="00A04A12"/>
    <w:rsid w:val="00A06C05"/>
    <w:rsid w:val="00A20E23"/>
    <w:rsid w:val="00B51C61"/>
    <w:rsid w:val="00BE2A6D"/>
    <w:rsid w:val="00C47FFC"/>
    <w:rsid w:val="00C96F3D"/>
    <w:rsid w:val="00CF3181"/>
    <w:rsid w:val="00D104FD"/>
    <w:rsid w:val="00D33380"/>
    <w:rsid w:val="00D50CDB"/>
    <w:rsid w:val="00D65513"/>
    <w:rsid w:val="00D77B0D"/>
    <w:rsid w:val="00D8048A"/>
    <w:rsid w:val="00D8296D"/>
    <w:rsid w:val="00DB295F"/>
    <w:rsid w:val="00DC177E"/>
    <w:rsid w:val="00E16925"/>
    <w:rsid w:val="00E42D2D"/>
    <w:rsid w:val="00E42E37"/>
    <w:rsid w:val="00E44CDC"/>
    <w:rsid w:val="00E56A00"/>
    <w:rsid w:val="00E976E6"/>
    <w:rsid w:val="00F1379B"/>
    <w:rsid w:val="00F333D2"/>
    <w:rsid w:val="00F50F02"/>
    <w:rsid w:val="00F64495"/>
    <w:rsid w:val="00F75EB4"/>
    <w:rsid w:val="00FA071B"/>
    <w:rsid w:val="00FA0DB6"/>
    <w:rsid w:val="00FA61A0"/>
    <w:rsid w:val="3DD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1FF45"/>
  <w15:docId w15:val="{FA90A279-2B86-4F5E-8C99-8B1FCFC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B4"/>
    <w:rPr>
      <w:rFonts w:ascii="Arial" w:eastAsia="Times New Roman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9F4237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F75EB4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7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8DA55-8D90-42C5-9192-DEFD0D4C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KUMAR</dc:creator>
  <cp:lastModifiedBy>MANSI KUMAR</cp:lastModifiedBy>
  <cp:revision>7</cp:revision>
  <cp:lastPrinted>2022-02-09T05:05:00Z</cp:lastPrinted>
  <dcterms:created xsi:type="dcterms:W3CDTF">2022-02-10T09:22:00Z</dcterms:created>
  <dcterms:modified xsi:type="dcterms:W3CDTF">2022-05-13T08:19:00Z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568C1ADD91FD4B80978113F9A6813712</vt:lpwstr>
  </property>
</Properties>
</file>